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FDA6" w14:textId="77777777" w:rsidR="00F309D4" w:rsidRDefault="00F309D4"/>
    <w:p w14:paraId="36478732" w14:textId="77777777" w:rsidR="002B42E1" w:rsidRDefault="002B42E1"/>
    <w:p w14:paraId="711A6459" w14:textId="77777777" w:rsidR="007700DF" w:rsidRDefault="007700DF"/>
    <w:p w14:paraId="1C88ACB6" w14:textId="77777777" w:rsidR="007700DF" w:rsidRDefault="007700DF"/>
    <w:p w14:paraId="425677B1" w14:textId="77777777" w:rsidR="007700DF" w:rsidRDefault="007700DF"/>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2575"/>
        <w:gridCol w:w="4111"/>
        <w:gridCol w:w="2674"/>
      </w:tblGrid>
      <w:tr w:rsidR="00E70168" w:rsidRPr="00147D48" w14:paraId="3641C41B" w14:textId="77777777" w:rsidTr="00681199">
        <w:tc>
          <w:tcPr>
            <w:tcW w:w="2646" w:type="dxa"/>
            <w:tcBorders>
              <w:bottom w:val="single" w:sz="4" w:space="0" w:color="auto"/>
              <w:right w:val="single" w:sz="18" w:space="0" w:color="808080" w:themeColor="background1" w:themeShade="80"/>
            </w:tcBorders>
            <w:vAlign w:val="center"/>
          </w:tcPr>
          <w:p w14:paraId="0A3A9646" w14:textId="77777777" w:rsidR="007700DF" w:rsidRPr="00147D48" w:rsidRDefault="007700DF" w:rsidP="00681199">
            <w:pPr>
              <w:pStyle w:val="NoSpacing"/>
              <w:jc w:val="right"/>
              <w:rPr>
                <w:rFonts w:ascii="Bahnschrift SemiLight" w:eastAsiaTheme="majorEastAsia" w:hAnsi="Bahnschrift SemiLight" w:cs="Times New Roman"/>
                <w:bCs/>
                <w:sz w:val="24"/>
                <w:szCs w:val="24"/>
              </w:rPr>
            </w:pPr>
            <w:r w:rsidRPr="00147D48">
              <w:rPr>
                <w:rFonts w:ascii="Bahnschrift SemiLight" w:eastAsiaTheme="majorEastAsia" w:hAnsi="Bahnschrift SemiLight" w:cs="Times New Roman"/>
                <w:bCs/>
                <w:sz w:val="24"/>
                <w:szCs w:val="24"/>
              </w:rPr>
              <w:t xml:space="preserve">Report on the </w:t>
            </w:r>
            <w:r w:rsidR="003A6DDB">
              <w:rPr>
                <w:rFonts w:ascii="Bahnschrift SemiLight" w:eastAsiaTheme="majorEastAsia" w:hAnsi="Bahnschrift SemiLight" w:cs="Times New Roman"/>
                <w:bCs/>
                <w:sz w:val="24"/>
                <w:szCs w:val="24"/>
              </w:rPr>
              <w:t>Annual Financial Risk Assessment</w:t>
            </w:r>
            <w:r w:rsidR="0076716C" w:rsidRPr="00147D48">
              <w:rPr>
                <w:rFonts w:ascii="Bahnschrift SemiLight" w:eastAsiaTheme="majorEastAsia" w:hAnsi="Bahnschrift SemiLight" w:cs="Times New Roman"/>
                <w:bCs/>
                <w:sz w:val="24"/>
                <w:szCs w:val="24"/>
              </w:rPr>
              <w:t xml:space="preserve"> Evaluation</w:t>
            </w:r>
            <w:r w:rsidRPr="00147D48">
              <w:rPr>
                <w:rFonts w:ascii="Bahnschrift SemiLight" w:eastAsiaTheme="majorEastAsia" w:hAnsi="Bahnschrift SemiLight" w:cs="Times New Roman"/>
                <w:bCs/>
                <w:sz w:val="24"/>
                <w:szCs w:val="24"/>
              </w:rPr>
              <w:t xml:space="preserve">  </w:t>
            </w:r>
          </w:p>
          <w:p w14:paraId="04A3AE29" w14:textId="77777777" w:rsidR="007700DF" w:rsidRPr="00147D48" w:rsidRDefault="003A6DDB" w:rsidP="00681199">
            <w:pPr>
              <w:pStyle w:val="NoSpacing"/>
              <w:jc w:val="right"/>
              <w:rPr>
                <w:rFonts w:ascii="Bahnschrift SemiLight" w:eastAsiaTheme="majorEastAsia" w:hAnsi="Bahnschrift SemiLight" w:cstheme="majorBidi"/>
                <w:sz w:val="76"/>
                <w:szCs w:val="72"/>
              </w:rPr>
            </w:pPr>
            <w:r w:rsidRPr="00147D48">
              <w:rPr>
                <w:rFonts w:ascii="Bahnschrift SemiLight" w:eastAsiaTheme="majorEastAsia" w:hAnsi="Bahnschrift SemiLight" w:cs="Times New Roman"/>
                <w:bCs/>
                <w:sz w:val="24"/>
                <w:szCs w:val="24"/>
              </w:rPr>
              <w:t>O</w:t>
            </w:r>
            <w:r w:rsidR="007F1290" w:rsidRPr="00147D48">
              <w:rPr>
                <w:rFonts w:ascii="Bahnschrift SemiLight" w:eastAsiaTheme="majorEastAsia" w:hAnsi="Bahnschrift SemiLight" w:cs="Times New Roman"/>
                <w:bCs/>
                <w:sz w:val="24"/>
                <w:szCs w:val="24"/>
              </w:rPr>
              <w:t>f</w:t>
            </w:r>
            <w:r>
              <w:rPr>
                <w:rFonts w:ascii="Bahnschrift SemiLight" w:eastAsiaTheme="majorEastAsia" w:hAnsi="Bahnschrift SemiLight" w:cs="Times New Roman"/>
                <w:bCs/>
                <w:sz w:val="24"/>
                <w:szCs w:val="24"/>
              </w:rPr>
              <w:t xml:space="preserve"> the</w:t>
            </w:r>
            <w:r w:rsidR="007700DF" w:rsidRPr="00147D48">
              <w:rPr>
                <w:rFonts w:ascii="Bahnschrift SemiLight" w:eastAsiaTheme="majorEastAsia" w:hAnsi="Bahnschrift SemiLight" w:cs="Times New Roman"/>
                <w:bCs/>
                <w:sz w:val="24"/>
                <w:szCs w:val="24"/>
              </w:rPr>
              <w:t>:</w:t>
            </w:r>
          </w:p>
        </w:tc>
        <w:tc>
          <w:tcPr>
            <w:tcW w:w="7146" w:type="dxa"/>
            <w:gridSpan w:val="2"/>
            <w:tcBorders>
              <w:left w:val="single" w:sz="18" w:space="0" w:color="808080" w:themeColor="background1" w:themeShade="80"/>
              <w:bottom w:val="single" w:sz="18" w:space="0" w:color="808080" w:themeColor="background1" w:themeShade="80"/>
            </w:tcBorders>
            <w:vAlign w:val="center"/>
          </w:tcPr>
          <w:p w14:paraId="165D0D40" w14:textId="01A12C4C" w:rsidR="00860B4B" w:rsidRPr="00590C9A" w:rsidRDefault="005F7290" w:rsidP="00860B4B">
            <w:pPr>
              <w:pStyle w:val="NoSpacing"/>
              <w:jc w:val="center"/>
              <w:rPr>
                <w:rFonts w:asciiTheme="majorHAnsi" w:hAnsiTheme="majorHAnsi" w:cs="Times New Roman"/>
                <w:bCs/>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D5022B">
              <w:rPr>
                <w:rFonts w:asciiTheme="majorHAnsi" w:hAnsiTheme="majorHAnsi" w:cs="Times New Roman"/>
                <w:bCs/>
                <w:outline/>
                <w:color w:val="F79646" w:themeColor="accent6"/>
                <w:sz w:val="44"/>
                <w:szCs w:val="44"/>
                <w14:shadow w14:blurRad="41275" w14:dist="12700" w14:dir="12000000" w14:sx="100000" w14:sy="100000" w14:kx="0" w14:ky="0" w14:algn="tl">
                  <w14:srgbClr w14:val="000000">
                    <w14:alpha w14:val="60000"/>
                  </w14:srgbClr>
                </w14:shadow>
                <w14:textOutline w14:w="15773" w14:cap="flat" w14:cmpd="sng" w14:algn="ctr">
                  <w14:solidFill>
                    <w14:schemeClr w14:val="accent6">
                      <w14:lumMod w14:val="50000"/>
                    </w14:schemeClr>
                  </w14:solidFill>
                  <w14:prstDash w14:val="solid"/>
                  <w14:round/>
                </w14:textOutline>
                <w14:textFill>
                  <w14:solidFill>
                    <w14:srgbClr w14:val="FFFFFF"/>
                  </w14:solidFill>
                </w14:textFill>
              </w:rPr>
              <w:t>Contracto</w:t>
            </w:r>
            <w:r w:rsidR="000C1F70" w:rsidRPr="00D5022B">
              <w:rPr>
                <w:rFonts w:asciiTheme="majorHAnsi" w:hAnsiTheme="majorHAnsi" w:cs="Times New Roman"/>
                <w:bCs/>
                <w:outline/>
                <w:color w:val="F79646" w:themeColor="accent6"/>
                <w:sz w:val="44"/>
                <w:szCs w:val="44"/>
                <w14:shadow w14:blurRad="41275" w14:dist="12700" w14:dir="12000000" w14:sx="100000" w14:sy="100000" w14:kx="0" w14:ky="0" w14:algn="tl">
                  <w14:srgbClr w14:val="000000">
                    <w14:alpha w14:val="60000"/>
                  </w14:srgbClr>
                </w14:shadow>
                <w14:textOutline w14:w="15773" w14:cap="flat" w14:cmpd="sng" w14:algn="ctr">
                  <w14:solidFill>
                    <w14:schemeClr w14:val="accent6">
                      <w14:lumMod w14:val="50000"/>
                    </w14:schemeClr>
                  </w14:solidFill>
                  <w14:prstDash w14:val="solid"/>
                  <w14:round/>
                </w14:textOutline>
                <w14:textFill>
                  <w14:solidFill>
                    <w14:srgbClr w14:val="FFFFFF"/>
                  </w14:solidFill>
                </w14:textFill>
              </w:rPr>
              <w:t xml:space="preserve">rs of Workforce Solutions </w:t>
            </w:r>
            <w:r w:rsidR="0082268B" w:rsidRPr="00D5022B">
              <w:rPr>
                <w:rFonts w:asciiTheme="majorHAnsi" w:hAnsiTheme="majorHAnsi" w:cs="Times New Roman"/>
                <w:bCs/>
                <w:outline/>
                <w:color w:val="F79646" w:themeColor="accent6"/>
                <w:sz w:val="44"/>
                <w:szCs w:val="44"/>
                <w14:shadow w14:blurRad="41275" w14:dist="12700" w14:dir="12000000" w14:sx="100000" w14:sy="100000" w14:kx="0" w14:ky="0" w14:algn="tl">
                  <w14:srgbClr w14:val="000000">
                    <w14:alpha w14:val="60000"/>
                  </w14:srgbClr>
                </w14:shadow>
                <w14:textOutline w14:w="15773" w14:cap="flat" w14:cmpd="sng" w14:algn="ctr">
                  <w14:solidFill>
                    <w14:schemeClr w14:val="accent6">
                      <w14:lumMod w14:val="50000"/>
                    </w14:schemeClr>
                  </w14:solidFill>
                  <w14:prstDash w14:val="solid"/>
                  <w14:round/>
                </w14:textOutline>
                <w14:textFill>
                  <w14:solidFill>
                    <w14:srgbClr w14:val="FFFFFF"/>
                  </w14:solidFill>
                </w14:textFill>
              </w:rPr>
              <w:t>North Texas</w:t>
            </w:r>
            <w:r w:rsidR="00860B4B" w:rsidRPr="00590C9A">
              <w:rPr>
                <w:rFonts w:asciiTheme="majorHAnsi" w:hAnsiTheme="majorHAnsi" w:cs="Times New Roman"/>
                <w:bCs/>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p>
          <w:p w14:paraId="0AD20621" w14:textId="6E4198F2" w:rsidR="00E65850" w:rsidRPr="00147D48" w:rsidRDefault="005F7290" w:rsidP="00860B4B">
            <w:pPr>
              <w:pStyle w:val="NoSpacing"/>
              <w:jc w:val="center"/>
              <w:rPr>
                <w:rFonts w:ascii="Bahnschrift SemiLight" w:hAnsi="Bahnschrift SemiLight" w:cs="Times New Roman"/>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147D48">
              <w:rPr>
                <w:rFonts w:ascii="Bahnschrift SemiLight" w:eastAsiaTheme="majorEastAsia" w:hAnsi="Bahnschrift SemiLight" w:cs="Arial"/>
                <w:sz w:val="20"/>
                <w:szCs w:val="20"/>
              </w:rPr>
              <w:t xml:space="preserve">In their capacities </w:t>
            </w:r>
            <w:r w:rsidR="00237B47" w:rsidRPr="00147D48">
              <w:rPr>
                <w:rFonts w:ascii="Bahnschrift SemiLight" w:eastAsiaTheme="majorEastAsia" w:hAnsi="Bahnschrift SemiLight" w:cs="Arial"/>
                <w:sz w:val="20"/>
                <w:szCs w:val="20"/>
              </w:rPr>
              <w:t xml:space="preserve">of </w:t>
            </w:r>
            <w:r w:rsidR="00237B47" w:rsidRPr="00590C9A">
              <w:rPr>
                <w:rFonts w:asciiTheme="majorHAnsi" w:eastAsiaTheme="majorEastAsia" w:hAnsiTheme="majorHAnsi" w:cs="Arial"/>
                <w:i/>
                <w:iCs/>
              </w:rPr>
              <w:t>Workforce Center</w:t>
            </w:r>
            <w:r w:rsidR="000C1F70" w:rsidRPr="00590C9A">
              <w:rPr>
                <w:rFonts w:asciiTheme="majorHAnsi" w:eastAsiaTheme="majorEastAsia" w:hAnsiTheme="majorHAnsi" w:cs="Arial"/>
                <w:i/>
                <w:iCs/>
              </w:rPr>
              <w:t>,</w:t>
            </w:r>
            <w:r w:rsidR="007077DE" w:rsidRPr="00590C9A">
              <w:rPr>
                <w:rFonts w:asciiTheme="majorHAnsi" w:eastAsiaTheme="majorEastAsia" w:hAnsiTheme="majorHAnsi" w:cs="Arial"/>
                <w:i/>
                <w:iCs/>
              </w:rPr>
              <w:t xml:space="preserve"> Child Care</w:t>
            </w:r>
            <w:r w:rsidR="007077DE" w:rsidRPr="00147D48">
              <w:rPr>
                <w:rFonts w:ascii="Bahnschrift SemiLight" w:eastAsiaTheme="majorEastAsia" w:hAnsi="Bahnschrift SemiLight" w:cs="Arial"/>
                <w:sz w:val="20"/>
                <w:szCs w:val="20"/>
              </w:rPr>
              <w:t xml:space="preserve"> </w:t>
            </w:r>
            <w:r w:rsidR="000C1F70" w:rsidRPr="00147D48">
              <w:rPr>
                <w:rFonts w:ascii="Bahnschrift SemiLight" w:eastAsiaTheme="majorEastAsia" w:hAnsi="Bahnschrift SemiLight" w:cs="Arial"/>
                <w:sz w:val="20"/>
                <w:szCs w:val="20"/>
              </w:rPr>
              <w:t xml:space="preserve">and </w:t>
            </w:r>
            <w:r w:rsidR="000C1F70" w:rsidRPr="00590C9A">
              <w:rPr>
                <w:rFonts w:asciiTheme="majorHAnsi" w:eastAsiaTheme="majorEastAsia" w:hAnsiTheme="majorHAnsi" w:cs="Arial"/>
                <w:i/>
                <w:iCs/>
              </w:rPr>
              <w:t>Specialty</w:t>
            </w:r>
            <w:r w:rsidR="000C1F70" w:rsidRPr="00147D48">
              <w:rPr>
                <w:rFonts w:ascii="Bahnschrift SemiLight" w:eastAsiaTheme="majorEastAsia" w:hAnsi="Bahnschrift SemiLight" w:cs="Arial"/>
                <w:sz w:val="20"/>
                <w:szCs w:val="20"/>
              </w:rPr>
              <w:t xml:space="preserve"> Contractors in</w:t>
            </w:r>
            <w:r w:rsidRPr="00147D48">
              <w:rPr>
                <w:rFonts w:ascii="Bahnschrift SemiLight" w:eastAsiaTheme="majorEastAsia" w:hAnsi="Bahnschrift SemiLight" w:cs="Arial"/>
                <w:sz w:val="20"/>
                <w:szCs w:val="20"/>
              </w:rPr>
              <w:t xml:space="preserve"> the </w:t>
            </w:r>
            <w:r w:rsidR="00A100A0">
              <w:rPr>
                <w:rFonts w:ascii="Bahnschrift SemiLight" w:eastAsiaTheme="majorEastAsia" w:hAnsi="Bahnschrift SemiLight" w:cs="Times New Roman"/>
                <w:b/>
                <w:sz w:val="24"/>
                <w:szCs w:val="24"/>
              </w:rPr>
              <w:t xml:space="preserve">North Texas </w:t>
            </w:r>
            <w:r w:rsidRPr="00147D48">
              <w:rPr>
                <w:rFonts w:ascii="Bahnschrift SemiLight" w:eastAsiaTheme="majorEastAsia" w:hAnsi="Bahnschrift SemiLight" w:cs="Times New Roman"/>
                <w:b/>
                <w:sz w:val="24"/>
                <w:szCs w:val="24"/>
              </w:rPr>
              <w:t>Workforce Development Area</w:t>
            </w:r>
            <w:r w:rsidRPr="00147D48">
              <w:rPr>
                <w:rFonts w:ascii="Bahnschrift SemiLight" w:eastAsiaTheme="majorEastAsia" w:hAnsi="Bahnschrift SemiLight" w:cs="Times New Roman"/>
                <w:sz w:val="24"/>
                <w:szCs w:val="24"/>
              </w:rPr>
              <w:t xml:space="preserve"> </w:t>
            </w:r>
          </w:p>
        </w:tc>
      </w:tr>
      <w:tr w:rsidR="00E70168" w:rsidRPr="00147D48" w14:paraId="0DA41B5C" w14:textId="77777777" w:rsidTr="00681199">
        <w:tc>
          <w:tcPr>
            <w:tcW w:w="7054" w:type="dxa"/>
            <w:gridSpan w:val="2"/>
            <w:tcBorders>
              <w:top w:val="single" w:sz="18" w:space="0" w:color="808080" w:themeColor="background1" w:themeShade="80"/>
            </w:tcBorders>
            <w:vAlign w:val="center"/>
          </w:tcPr>
          <w:p w14:paraId="140D086B" w14:textId="77777777" w:rsidR="007700DF" w:rsidRPr="00147D48" w:rsidRDefault="007700DF" w:rsidP="0076716C">
            <w:pPr>
              <w:pStyle w:val="NoSpacing"/>
              <w:rPr>
                <w:rFonts w:ascii="Bahnschrift SemiLight" w:hAnsi="Bahnschrift SemiLight" w:cs="Times New Roman"/>
              </w:rPr>
            </w:pPr>
          </w:p>
        </w:tc>
        <w:sdt>
          <w:sdtPr>
            <w:rPr>
              <w:rFonts w:ascii="Bahnschrift SemiLight" w:eastAsiaTheme="majorEastAsia" w:hAnsi="Bahnschrift SemiLight" w:cstheme="majorBidi"/>
              <w:bCs/>
              <w:sz w:val="24"/>
              <w:szCs w:val="24"/>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14:paraId="5308A4B8" w14:textId="536AB657" w:rsidR="007700DF" w:rsidRPr="00D5022B" w:rsidRDefault="00D5022B" w:rsidP="005C4E27">
                <w:pPr>
                  <w:pStyle w:val="NoSpacing"/>
                  <w:rPr>
                    <w:rFonts w:ascii="Bahnschrift SemiLight" w:eastAsiaTheme="majorEastAsia" w:hAnsi="Bahnschrift SemiLight" w:cstheme="majorBidi"/>
                    <w:bCs/>
                    <w:sz w:val="24"/>
                    <w:szCs w:val="24"/>
                    <w:highlight w:val="lightGray"/>
                  </w:rPr>
                </w:pPr>
                <w:r w:rsidRPr="00D5022B">
                  <w:rPr>
                    <w:rFonts w:ascii="Bahnschrift SemiLight" w:eastAsiaTheme="majorEastAsia" w:hAnsi="Bahnschrift SemiLight" w:cstheme="majorBidi"/>
                    <w:bCs/>
                    <w:sz w:val="24"/>
                    <w:szCs w:val="24"/>
                  </w:rPr>
                  <w:t xml:space="preserve">December </w:t>
                </w:r>
                <w:r>
                  <w:rPr>
                    <w:rFonts w:ascii="Bahnschrift SemiLight" w:eastAsiaTheme="majorEastAsia" w:hAnsi="Bahnschrift SemiLight" w:cstheme="majorBidi"/>
                    <w:bCs/>
                    <w:sz w:val="24"/>
                    <w:szCs w:val="24"/>
                  </w:rPr>
                  <w:t>8</w:t>
                </w:r>
                <w:r w:rsidRPr="00D5022B">
                  <w:rPr>
                    <w:rFonts w:ascii="Bahnschrift SemiLight" w:eastAsiaTheme="majorEastAsia" w:hAnsi="Bahnschrift SemiLight" w:cstheme="majorBidi"/>
                    <w:bCs/>
                    <w:sz w:val="24"/>
                    <w:szCs w:val="24"/>
                  </w:rPr>
                  <w:t>, 2022</w:t>
                </w:r>
              </w:p>
            </w:tc>
          </w:sdtContent>
        </w:sdt>
      </w:tr>
    </w:tbl>
    <w:p w14:paraId="6BBA5D34" w14:textId="77777777" w:rsidR="007700DF" w:rsidRPr="00147D48" w:rsidRDefault="007700DF" w:rsidP="007700DF">
      <w:pPr>
        <w:rPr>
          <w:rFonts w:ascii="Bahnschrift SemiLight" w:hAnsi="Bahnschrift SemiLight"/>
        </w:rPr>
      </w:pPr>
    </w:p>
    <w:p w14:paraId="67968A5A" w14:textId="77777777" w:rsidR="007700DF" w:rsidRPr="00147D48" w:rsidRDefault="007700DF">
      <w:pPr>
        <w:rPr>
          <w:rFonts w:ascii="Bahnschrift SemiLight" w:hAnsi="Bahnschrift SemiLight"/>
        </w:rPr>
      </w:pPr>
    </w:p>
    <w:p w14:paraId="15467F48" w14:textId="77777777" w:rsidR="007700DF" w:rsidRPr="00147D48" w:rsidRDefault="007700DF">
      <w:pPr>
        <w:rPr>
          <w:rFonts w:ascii="Bahnschrift SemiLight" w:hAnsi="Bahnschrift SemiLight"/>
        </w:rPr>
      </w:pPr>
    </w:p>
    <w:p w14:paraId="4C8DA5CD" w14:textId="77777777" w:rsidR="007700DF" w:rsidRPr="00147D48" w:rsidRDefault="007700DF">
      <w:pPr>
        <w:rPr>
          <w:rFonts w:ascii="Bahnschrift SemiLight" w:hAnsi="Bahnschrift SemiLight"/>
        </w:rPr>
      </w:pPr>
    </w:p>
    <w:p w14:paraId="711E8F99" w14:textId="77777777" w:rsidR="007700DF" w:rsidRPr="00147D48" w:rsidRDefault="007700DF">
      <w:pPr>
        <w:rPr>
          <w:rFonts w:ascii="Bahnschrift SemiLight" w:hAnsi="Bahnschrift SemiLight"/>
        </w:rPr>
      </w:pPr>
    </w:p>
    <w:p w14:paraId="3C77D087" w14:textId="77777777" w:rsidR="007700DF" w:rsidRPr="00147D48" w:rsidRDefault="007700DF">
      <w:pPr>
        <w:rPr>
          <w:rFonts w:ascii="Bahnschrift SemiLight" w:hAnsi="Bahnschrift SemiLight"/>
        </w:rPr>
      </w:pPr>
    </w:p>
    <w:p w14:paraId="5B878CE7" w14:textId="77777777" w:rsidR="007700DF" w:rsidRPr="00147D48" w:rsidRDefault="007700DF">
      <w:pPr>
        <w:rPr>
          <w:rFonts w:ascii="Bahnschrift SemiLight" w:hAnsi="Bahnschrift SemiLight"/>
        </w:rPr>
      </w:pPr>
    </w:p>
    <w:p w14:paraId="7A356D28" w14:textId="77777777" w:rsidR="007700DF" w:rsidRPr="00147D48" w:rsidRDefault="007700DF">
      <w:pPr>
        <w:rPr>
          <w:rFonts w:ascii="Bahnschrift SemiLight" w:hAnsi="Bahnschrift SemiLight"/>
        </w:rPr>
      </w:pPr>
    </w:p>
    <w:p w14:paraId="6EA97F4E" w14:textId="77777777" w:rsidR="007700DF" w:rsidRPr="00147D48" w:rsidRDefault="007700DF">
      <w:pPr>
        <w:rPr>
          <w:rFonts w:ascii="Bahnschrift SemiLight" w:hAnsi="Bahnschrift SemiLight"/>
        </w:rPr>
      </w:pPr>
    </w:p>
    <w:p w14:paraId="7785C333" w14:textId="77777777" w:rsidR="007700DF" w:rsidRPr="00147D48" w:rsidRDefault="007700DF">
      <w:pPr>
        <w:rPr>
          <w:rFonts w:ascii="Bahnschrift SemiLight" w:hAnsi="Bahnschrift SemiLight"/>
        </w:rPr>
      </w:pPr>
    </w:p>
    <w:p w14:paraId="619E8312" w14:textId="77777777" w:rsidR="007700DF" w:rsidRPr="00147D48" w:rsidRDefault="007700DF">
      <w:pPr>
        <w:rPr>
          <w:rFonts w:ascii="Bahnschrift SemiLight" w:hAnsi="Bahnschrift SemiLight"/>
        </w:rPr>
      </w:pPr>
    </w:p>
    <w:p w14:paraId="19173A02" w14:textId="77777777" w:rsidR="007700DF" w:rsidRPr="00147D48" w:rsidRDefault="007700DF">
      <w:pPr>
        <w:rPr>
          <w:rFonts w:ascii="Bahnschrift SemiLight" w:hAnsi="Bahnschrift SemiLight"/>
        </w:rPr>
      </w:pPr>
    </w:p>
    <w:p w14:paraId="2B192ADB" w14:textId="77777777" w:rsidR="007700DF" w:rsidRDefault="007700DF"/>
    <w:p w14:paraId="7F8DDC03" w14:textId="77777777" w:rsidR="007700DF" w:rsidRDefault="007700DF"/>
    <w:p w14:paraId="003E51BC" w14:textId="77777777" w:rsidR="00A17A49" w:rsidRDefault="00A17A49"/>
    <w:p w14:paraId="71D24979" w14:textId="77777777" w:rsidR="00A17A49" w:rsidRDefault="00A17A49"/>
    <w:p w14:paraId="2B599F4B" w14:textId="77777777" w:rsidR="00A17A49" w:rsidRDefault="00A17A49"/>
    <w:p w14:paraId="2840DD89" w14:textId="77777777" w:rsidR="00A17A49" w:rsidRDefault="00A17A49"/>
    <w:p w14:paraId="5B7F89B7" w14:textId="77777777" w:rsidR="00A17A49" w:rsidRDefault="00A17A49"/>
    <w:p w14:paraId="46D30D1E" w14:textId="77777777" w:rsidR="00A17A49" w:rsidRDefault="00A17A49"/>
    <w:p w14:paraId="29AB175C" w14:textId="77777777" w:rsidR="00A17A49" w:rsidRDefault="00A17A49"/>
    <w:p w14:paraId="23ABE7A2" w14:textId="77777777" w:rsidR="00A17A49" w:rsidRDefault="00A17A49"/>
    <w:p w14:paraId="14E20912" w14:textId="77777777" w:rsidR="00A17A49" w:rsidRDefault="00A17A49"/>
    <w:p w14:paraId="3E82BB80" w14:textId="77777777" w:rsidR="00A17A49" w:rsidRDefault="00A17A49"/>
    <w:p w14:paraId="385FEDAD" w14:textId="77777777" w:rsidR="00A17A49" w:rsidRDefault="00A17A49"/>
    <w:p w14:paraId="532DC6F6" w14:textId="77777777" w:rsidR="00A17A49" w:rsidRDefault="00A17A49"/>
    <w:p w14:paraId="1E369F4A" w14:textId="77777777" w:rsidR="00A17A49" w:rsidRDefault="00A17A49"/>
    <w:p w14:paraId="30899E25" w14:textId="77777777" w:rsidR="00A17A49" w:rsidRDefault="00A17A49"/>
    <w:p w14:paraId="2A84B720" w14:textId="77777777" w:rsidR="00A17A49" w:rsidRDefault="00A17A49"/>
    <w:p w14:paraId="40721D9E" w14:textId="77777777" w:rsidR="00AA679F" w:rsidRDefault="00AA679F"/>
    <w:p w14:paraId="74E70BD0" w14:textId="77777777" w:rsidR="00AA679F" w:rsidRPr="006A7D3E" w:rsidRDefault="00AA679F" w:rsidP="00AA679F">
      <w:pPr>
        <w:pStyle w:val="NoSpacing"/>
        <w:rPr>
          <w:rFonts w:ascii="Bahnschrift" w:hAnsi="Bahnschrift"/>
          <w:sz w:val="16"/>
          <w:szCs w:val="16"/>
          <w:highlight w:val="darkBlue"/>
        </w:rPr>
      </w:pPr>
      <w:r w:rsidRPr="00D5022B">
        <w:rPr>
          <w:rFonts w:ascii="Times New Roman" w:hAnsi="Times New Roman" w:cs="Times New Roman"/>
          <w:b/>
          <w:color w:val="70AD47"/>
          <w:spacing w:val="10"/>
          <w:sz w:val="96"/>
          <w:szCs w:val="96"/>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solidFill>
              <w14:srgbClr w14:val="70AD47">
                <w14:tint w14:val="1000"/>
              </w14:srgbClr>
            </w14:solidFill>
          </w14:textFill>
        </w:rPr>
        <w:t>R</w:t>
      </w:r>
      <w:r w:rsidRPr="006A7D3E">
        <w:rPr>
          <w:rFonts w:ascii="Bahnschrift" w:hAnsi="Bahnschrift" w:cs="Arial"/>
          <w:sz w:val="28"/>
          <w:szCs w:val="28"/>
        </w:rPr>
        <w:t>eport Demographics</w:t>
      </w:r>
    </w:p>
    <w:p w14:paraId="5EBD2D76" w14:textId="77777777" w:rsidR="00AA679F" w:rsidRDefault="00AA679F" w:rsidP="00AA679F">
      <w:pPr>
        <w:pStyle w:val="NoSpacing"/>
        <w:pBdr>
          <w:top w:val="single" w:sz="4" w:space="1" w:color="auto"/>
        </w:pBdr>
        <w:rPr>
          <w:sz w:val="16"/>
          <w:szCs w:val="16"/>
        </w:rPr>
      </w:pPr>
    </w:p>
    <w:p w14:paraId="1A85EE4C" w14:textId="77777777" w:rsidR="009061E6" w:rsidRDefault="009061E6" w:rsidP="007700DF">
      <w:pPr>
        <w:pStyle w:val="NoSpacing"/>
        <w:rPr>
          <w:rFonts w:ascii="Britannic Bold" w:hAnsi="Britannic Bold" w:cs="Arial"/>
          <w:bCs/>
          <w:sz w:val="24"/>
          <w:szCs w:val="24"/>
        </w:rPr>
      </w:pPr>
    </w:p>
    <w:p w14:paraId="1F1398B4" w14:textId="11A57320" w:rsidR="007700DF" w:rsidRPr="00D5022B" w:rsidRDefault="007700DF" w:rsidP="007700DF">
      <w:pPr>
        <w:pStyle w:val="NoSpacing"/>
        <w:rPr>
          <w:rFonts w:ascii="Bahnschrift SemiLight" w:hAnsi="Bahnschrift SemiLight"/>
          <w:bCs/>
        </w:rPr>
      </w:pPr>
      <w:r w:rsidRPr="00A20ABA">
        <w:rPr>
          <w:rFonts w:ascii="Bahnschrift SemiLight" w:hAnsi="Bahnschrift SemiLight" w:cs="Arial"/>
          <w:b/>
          <w:bCs/>
          <w:sz w:val="24"/>
          <w:szCs w:val="24"/>
        </w:rPr>
        <w:t>Report Number:</w:t>
      </w:r>
      <w:r w:rsidRPr="00A20ABA">
        <w:rPr>
          <w:rFonts w:ascii="Bahnschrift SemiLight" w:hAnsi="Bahnschrift SemiLight"/>
          <w:b/>
          <w:bCs/>
        </w:rPr>
        <w:tab/>
      </w:r>
      <w:r w:rsidR="00BF5271" w:rsidRPr="00A20ABA">
        <w:rPr>
          <w:rFonts w:ascii="Bahnschrift SemiLight" w:hAnsi="Bahnschrift SemiLight" w:cs="Arial"/>
          <w:bCs/>
          <w:sz w:val="24"/>
          <w:szCs w:val="24"/>
        </w:rPr>
        <w:tab/>
      </w:r>
      <w:r w:rsidR="001B3AF2" w:rsidRPr="00D5022B">
        <w:rPr>
          <w:rFonts w:ascii="Bahnschrift SemiLight" w:hAnsi="Bahnschrift SemiLight" w:cs="Arial"/>
          <w:bCs/>
          <w:sz w:val="24"/>
          <w:szCs w:val="24"/>
        </w:rPr>
        <w:t>WFS</w:t>
      </w:r>
      <w:r w:rsidR="00A100A0" w:rsidRPr="00D5022B">
        <w:rPr>
          <w:rFonts w:ascii="Bahnschrift SemiLight" w:hAnsi="Bahnschrift SemiLight" w:cs="Arial"/>
          <w:bCs/>
          <w:sz w:val="24"/>
          <w:szCs w:val="24"/>
        </w:rPr>
        <w:t>N</w:t>
      </w:r>
      <w:r w:rsidR="00AE748D" w:rsidRPr="00D5022B">
        <w:rPr>
          <w:rFonts w:ascii="Bahnschrift SemiLight" w:hAnsi="Bahnschrift SemiLight" w:cs="Arial"/>
          <w:bCs/>
          <w:sz w:val="24"/>
          <w:szCs w:val="24"/>
        </w:rPr>
        <w:t>T</w:t>
      </w:r>
      <w:r w:rsidR="00860B4B" w:rsidRPr="00D5022B">
        <w:rPr>
          <w:rFonts w:ascii="Bahnschrift SemiLight" w:hAnsi="Bahnschrift SemiLight" w:cs="Arial"/>
          <w:bCs/>
          <w:sz w:val="24"/>
          <w:szCs w:val="24"/>
        </w:rPr>
        <w:t xml:space="preserve"> </w:t>
      </w:r>
      <w:r w:rsidR="00A20ABA" w:rsidRPr="00D5022B">
        <w:rPr>
          <w:rFonts w:ascii="Bahnschrift SemiLight" w:hAnsi="Bahnschrift SemiLight" w:cs="Arial"/>
          <w:bCs/>
          <w:sz w:val="24"/>
          <w:szCs w:val="24"/>
        </w:rPr>
        <w:t>2</w:t>
      </w:r>
      <w:r w:rsidR="00A647BE">
        <w:rPr>
          <w:rFonts w:ascii="Bahnschrift SemiLight" w:hAnsi="Bahnschrift SemiLight" w:cs="Arial"/>
          <w:bCs/>
          <w:sz w:val="24"/>
          <w:szCs w:val="24"/>
        </w:rPr>
        <w:t>3</w:t>
      </w:r>
      <w:r w:rsidR="00286735" w:rsidRPr="00D5022B">
        <w:rPr>
          <w:rFonts w:ascii="Bahnschrift SemiLight" w:hAnsi="Bahnschrift SemiLight" w:cs="Arial"/>
          <w:bCs/>
          <w:sz w:val="24"/>
          <w:szCs w:val="24"/>
        </w:rPr>
        <w:t>-0</w:t>
      </w:r>
      <w:r w:rsidR="00A647BE">
        <w:rPr>
          <w:rFonts w:ascii="Bahnschrift SemiLight" w:hAnsi="Bahnschrift SemiLight" w:cs="Arial"/>
          <w:bCs/>
          <w:sz w:val="24"/>
          <w:szCs w:val="24"/>
        </w:rPr>
        <w:t>2</w:t>
      </w:r>
    </w:p>
    <w:p w14:paraId="4DD5E29E" w14:textId="77777777" w:rsidR="00AE748D" w:rsidRPr="00A20ABA" w:rsidRDefault="00AE748D" w:rsidP="007700DF">
      <w:pPr>
        <w:pStyle w:val="NoSpacing"/>
        <w:rPr>
          <w:rFonts w:ascii="Bahnschrift SemiLight" w:hAnsi="Bahnschrift SemiLight" w:cs="Arial"/>
          <w:bCs/>
          <w:sz w:val="24"/>
          <w:szCs w:val="24"/>
        </w:rPr>
      </w:pPr>
    </w:p>
    <w:p w14:paraId="2163AE34" w14:textId="77777777" w:rsidR="008B748C" w:rsidRPr="00A20ABA" w:rsidRDefault="007700DF" w:rsidP="008B748C">
      <w:pPr>
        <w:pStyle w:val="NoSpacing"/>
        <w:rPr>
          <w:rFonts w:ascii="Bahnschrift SemiLight" w:hAnsi="Bahnschrift SemiLight"/>
          <w:bCs/>
        </w:rPr>
      </w:pPr>
      <w:r w:rsidRPr="00A20ABA">
        <w:rPr>
          <w:rFonts w:ascii="Bahnschrift SemiLight" w:hAnsi="Bahnschrift SemiLight" w:cs="Arial"/>
          <w:b/>
          <w:bCs/>
          <w:sz w:val="24"/>
          <w:szCs w:val="24"/>
        </w:rPr>
        <w:t>Report Type:</w:t>
      </w:r>
      <w:r w:rsidRPr="00A20ABA">
        <w:rPr>
          <w:rFonts w:ascii="Bahnschrift SemiLight" w:hAnsi="Bahnschrift SemiLight"/>
          <w:b/>
          <w:bCs/>
        </w:rPr>
        <w:tab/>
      </w:r>
      <w:r w:rsidR="00BF5271" w:rsidRPr="00A20ABA">
        <w:rPr>
          <w:rFonts w:ascii="Bahnschrift SemiLight" w:hAnsi="Bahnschrift SemiLight" w:cs="Arial"/>
          <w:bCs/>
          <w:sz w:val="24"/>
          <w:szCs w:val="24"/>
        </w:rPr>
        <w:tab/>
      </w:r>
      <w:r w:rsidR="00A20ABA">
        <w:rPr>
          <w:rFonts w:ascii="Bahnschrift SemiLight" w:hAnsi="Bahnschrift SemiLight" w:cs="Arial"/>
          <w:bCs/>
          <w:sz w:val="24"/>
          <w:szCs w:val="24"/>
        </w:rPr>
        <w:tab/>
      </w:r>
      <w:r w:rsidR="008B748C" w:rsidRPr="00D5022B">
        <w:rPr>
          <w:rFonts w:ascii="Bahnschrift SemiLight" w:hAnsi="Bahnschrift SemiLight" w:cs="Arial"/>
          <w:bCs/>
          <w:color w:val="984806" w:themeColor="accent6" w:themeShade="80"/>
          <w:sz w:val="24"/>
          <w:szCs w:val="24"/>
        </w:rPr>
        <w:t>Final</w:t>
      </w:r>
    </w:p>
    <w:p w14:paraId="081EBC76" w14:textId="77777777" w:rsidR="007700DF" w:rsidRPr="00A20ABA" w:rsidRDefault="00BF5271" w:rsidP="007700DF">
      <w:pPr>
        <w:pStyle w:val="NoSpacing"/>
        <w:rPr>
          <w:rFonts w:ascii="Bahnschrift SemiLight" w:hAnsi="Bahnschrift SemiLight"/>
          <w:bCs/>
        </w:rPr>
      </w:pPr>
      <w:r w:rsidRPr="00A20ABA">
        <w:rPr>
          <w:rFonts w:ascii="Bahnschrift SemiLight" w:hAnsi="Bahnschrift SemiLight" w:cs="Arial"/>
          <w:bCs/>
          <w:sz w:val="24"/>
          <w:szCs w:val="24"/>
        </w:rPr>
        <w:t xml:space="preserve"> </w:t>
      </w:r>
    </w:p>
    <w:p w14:paraId="1E30BDDB" w14:textId="7CC12227" w:rsidR="0023275A" w:rsidRPr="00A20ABA" w:rsidRDefault="0023275A" w:rsidP="0023275A">
      <w:pPr>
        <w:pStyle w:val="NoSpacing"/>
        <w:rPr>
          <w:rFonts w:ascii="Bahnschrift SemiLight" w:hAnsi="Bahnschrift SemiLight"/>
          <w:b/>
          <w:bCs/>
        </w:rPr>
      </w:pPr>
      <w:r w:rsidRPr="00A20ABA">
        <w:rPr>
          <w:rFonts w:ascii="Bahnschrift SemiLight" w:hAnsi="Bahnschrift SemiLight" w:cs="Arial"/>
          <w:b/>
          <w:bCs/>
          <w:sz w:val="24"/>
          <w:szCs w:val="24"/>
        </w:rPr>
        <w:t>Report Issue Date:</w:t>
      </w:r>
      <w:r w:rsidRPr="00A20ABA">
        <w:rPr>
          <w:rFonts w:ascii="Bahnschrift SemiLight" w:hAnsi="Bahnschrift SemiLight"/>
          <w:bCs/>
        </w:rPr>
        <w:tab/>
      </w:r>
      <w:r w:rsidR="00E70168" w:rsidRPr="00A20ABA">
        <w:rPr>
          <w:rFonts w:ascii="Bahnschrift SemiLight" w:hAnsi="Bahnschrift SemiLight"/>
          <w:bCs/>
        </w:rPr>
        <w:tab/>
      </w:r>
      <w:r w:rsidR="00D5022B" w:rsidRPr="00D5022B">
        <w:rPr>
          <w:rFonts w:ascii="Bahnschrift SemiLight" w:hAnsi="Bahnschrift SemiLight"/>
          <w:bCs/>
          <w:sz w:val="24"/>
          <w:szCs w:val="24"/>
        </w:rPr>
        <w:t>December 8, 2022</w:t>
      </w:r>
    </w:p>
    <w:p w14:paraId="4EF03CDF" w14:textId="77777777" w:rsidR="008B748C" w:rsidRPr="00A20ABA" w:rsidRDefault="008B748C" w:rsidP="00495A65">
      <w:pPr>
        <w:pStyle w:val="NoSpacing"/>
        <w:ind w:left="2880" w:hanging="2880"/>
        <w:rPr>
          <w:rFonts w:ascii="Bahnschrift SemiLight" w:hAnsi="Bahnschrift SemiLight" w:cs="Arial"/>
          <w:bCs/>
          <w:sz w:val="24"/>
          <w:szCs w:val="24"/>
        </w:rPr>
      </w:pPr>
    </w:p>
    <w:p w14:paraId="715C0755" w14:textId="33A52DE2" w:rsidR="00495A65" w:rsidRPr="00A20ABA" w:rsidRDefault="00495A65" w:rsidP="00495A65">
      <w:pPr>
        <w:pStyle w:val="NoSpacing"/>
        <w:ind w:left="2880" w:hanging="2880"/>
        <w:rPr>
          <w:rFonts w:ascii="Bahnschrift SemiLight" w:hAnsi="Bahnschrift SemiLight" w:cs="Arial"/>
          <w:b/>
          <w:bCs/>
          <w:sz w:val="24"/>
          <w:szCs w:val="24"/>
        </w:rPr>
      </w:pPr>
      <w:r w:rsidRPr="00A20ABA">
        <w:rPr>
          <w:rFonts w:ascii="Bahnschrift SemiLight" w:hAnsi="Bahnschrift SemiLight" w:cs="Arial"/>
          <w:b/>
          <w:bCs/>
          <w:sz w:val="24"/>
          <w:szCs w:val="24"/>
        </w:rPr>
        <w:t>Review Type:</w:t>
      </w:r>
      <w:r w:rsidRPr="00A20ABA">
        <w:rPr>
          <w:rFonts w:ascii="Bahnschrift SemiLight" w:hAnsi="Bahnschrift SemiLight" w:cs="Arial"/>
          <w:b/>
          <w:bCs/>
          <w:sz w:val="24"/>
          <w:szCs w:val="24"/>
        </w:rPr>
        <w:tab/>
      </w:r>
      <w:r w:rsidRPr="00D52BA0">
        <w:rPr>
          <w:rFonts w:asciiTheme="majorHAnsi" w:hAnsiTheme="majorHAnsi" w:cs="Arial"/>
          <w:bCs/>
          <w:sz w:val="24"/>
          <w:szCs w:val="24"/>
        </w:rPr>
        <w:t>Annual</w:t>
      </w:r>
      <w:r w:rsidR="00D52BA0" w:rsidRPr="00D52BA0">
        <w:rPr>
          <w:rFonts w:asciiTheme="majorHAnsi" w:hAnsiTheme="majorHAnsi" w:cs="Arial"/>
          <w:bCs/>
          <w:sz w:val="24"/>
          <w:szCs w:val="24"/>
        </w:rPr>
        <w:t xml:space="preserve"> </w:t>
      </w:r>
      <w:r w:rsidR="00D52BA0" w:rsidRPr="00D52BA0">
        <w:rPr>
          <w:rFonts w:asciiTheme="majorHAnsi" w:hAnsiTheme="majorHAnsi" w:cs="Arial"/>
          <w:bCs/>
          <w:i/>
          <w:iCs/>
          <w:sz w:val="24"/>
          <w:szCs w:val="24"/>
        </w:rPr>
        <w:t>Child Care</w:t>
      </w:r>
      <w:r w:rsidR="00A100A0">
        <w:rPr>
          <w:rFonts w:asciiTheme="majorHAnsi" w:hAnsiTheme="majorHAnsi" w:cs="Arial"/>
          <w:bCs/>
          <w:i/>
          <w:iCs/>
          <w:sz w:val="24"/>
          <w:szCs w:val="24"/>
        </w:rPr>
        <w:t xml:space="preserve">, </w:t>
      </w:r>
      <w:r w:rsidR="00D52BA0" w:rsidRPr="00D52BA0">
        <w:rPr>
          <w:rFonts w:asciiTheme="majorHAnsi" w:hAnsiTheme="majorHAnsi" w:cs="Arial"/>
          <w:bCs/>
          <w:i/>
          <w:iCs/>
          <w:sz w:val="24"/>
          <w:szCs w:val="24"/>
        </w:rPr>
        <w:t>Workforce</w:t>
      </w:r>
      <w:r w:rsidR="00A100A0">
        <w:rPr>
          <w:rFonts w:asciiTheme="majorHAnsi" w:hAnsiTheme="majorHAnsi" w:cs="Arial"/>
          <w:bCs/>
          <w:i/>
          <w:iCs/>
          <w:sz w:val="24"/>
          <w:szCs w:val="24"/>
        </w:rPr>
        <w:t xml:space="preserve"> and Specialty grants contractors</w:t>
      </w:r>
      <w:r w:rsidR="00D52BA0" w:rsidRPr="00D52BA0">
        <w:rPr>
          <w:rFonts w:asciiTheme="majorHAnsi" w:hAnsiTheme="majorHAnsi" w:cs="Arial"/>
          <w:bCs/>
          <w:sz w:val="24"/>
          <w:szCs w:val="24"/>
        </w:rPr>
        <w:t xml:space="preserve"> </w:t>
      </w:r>
      <w:r w:rsidR="00A100A0">
        <w:rPr>
          <w:rFonts w:asciiTheme="majorHAnsi" w:hAnsiTheme="majorHAnsi" w:cs="Arial"/>
          <w:bCs/>
          <w:sz w:val="24"/>
          <w:szCs w:val="24"/>
        </w:rPr>
        <w:t>f</w:t>
      </w:r>
      <w:r w:rsidRPr="00D52BA0">
        <w:rPr>
          <w:rFonts w:asciiTheme="majorHAnsi" w:hAnsiTheme="majorHAnsi" w:cs="Arial"/>
          <w:bCs/>
          <w:sz w:val="24"/>
          <w:szCs w:val="24"/>
        </w:rPr>
        <w:t>i</w:t>
      </w:r>
      <w:r w:rsidR="00431961" w:rsidRPr="00D52BA0">
        <w:rPr>
          <w:rFonts w:asciiTheme="majorHAnsi" w:hAnsiTheme="majorHAnsi" w:cs="Arial"/>
          <w:bCs/>
          <w:sz w:val="24"/>
          <w:szCs w:val="24"/>
        </w:rPr>
        <w:t xml:space="preserve">nancial </w:t>
      </w:r>
      <w:r w:rsidR="00A100A0">
        <w:rPr>
          <w:rFonts w:asciiTheme="majorHAnsi" w:hAnsiTheme="majorHAnsi" w:cs="Arial"/>
          <w:bCs/>
          <w:sz w:val="24"/>
          <w:szCs w:val="24"/>
        </w:rPr>
        <w:t>r</w:t>
      </w:r>
      <w:r w:rsidR="00431961" w:rsidRPr="00D52BA0">
        <w:rPr>
          <w:rFonts w:asciiTheme="majorHAnsi" w:hAnsiTheme="majorHAnsi" w:cs="Arial"/>
          <w:bCs/>
          <w:sz w:val="24"/>
          <w:szCs w:val="24"/>
        </w:rPr>
        <w:t xml:space="preserve">isk </w:t>
      </w:r>
      <w:r w:rsidR="00A100A0">
        <w:rPr>
          <w:rFonts w:asciiTheme="majorHAnsi" w:hAnsiTheme="majorHAnsi" w:cs="Arial"/>
          <w:bCs/>
          <w:sz w:val="24"/>
          <w:szCs w:val="24"/>
        </w:rPr>
        <w:t>a</w:t>
      </w:r>
      <w:r w:rsidR="00431961" w:rsidRPr="00D52BA0">
        <w:rPr>
          <w:rFonts w:asciiTheme="majorHAnsi" w:hAnsiTheme="majorHAnsi" w:cs="Arial"/>
          <w:bCs/>
          <w:sz w:val="24"/>
          <w:szCs w:val="24"/>
        </w:rPr>
        <w:t>ssessment</w:t>
      </w:r>
    </w:p>
    <w:p w14:paraId="72923D4A" w14:textId="77777777" w:rsidR="00495A65" w:rsidRPr="00A20ABA" w:rsidRDefault="00495A65" w:rsidP="00495A65">
      <w:pPr>
        <w:pStyle w:val="NoSpacing"/>
        <w:rPr>
          <w:rFonts w:ascii="Bahnschrift SemiLight" w:hAnsi="Bahnschrift SemiLight" w:cs="Arial"/>
          <w:b/>
          <w:bCs/>
          <w:sz w:val="16"/>
          <w:szCs w:val="16"/>
        </w:rPr>
      </w:pPr>
    </w:p>
    <w:p w14:paraId="2FA86E9D" w14:textId="77777777" w:rsidR="00A100A0" w:rsidRPr="00A22C29" w:rsidRDefault="0075102B" w:rsidP="00A100A0">
      <w:pPr>
        <w:pStyle w:val="NoSpacing"/>
        <w:ind w:left="2880" w:hanging="2880"/>
        <w:rPr>
          <w:rFonts w:asciiTheme="majorHAnsi" w:hAnsiTheme="majorHAnsi"/>
          <w:i/>
          <w:iCs/>
          <w:color w:val="002060"/>
        </w:rPr>
      </w:pPr>
      <w:r w:rsidRPr="00A20ABA">
        <w:rPr>
          <w:rFonts w:ascii="Bahnschrift SemiLight" w:hAnsi="Bahnschrift SemiLight" w:cs="Arial"/>
          <w:b/>
          <w:bCs/>
          <w:sz w:val="24"/>
          <w:szCs w:val="24"/>
        </w:rPr>
        <w:t>Review Population</w:t>
      </w:r>
      <w:r w:rsidR="00495A65" w:rsidRPr="00A20ABA">
        <w:rPr>
          <w:rFonts w:ascii="Bahnschrift SemiLight" w:hAnsi="Bahnschrift SemiLight" w:cs="Arial"/>
          <w:b/>
          <w:bCs/>
          <w:sz w:val="24"/>
          <w:szCs w:val="24"/>
        </w:rPr>
        <w:t>:</w:t>
      </w:r>
      <w:r w:rsidR="00495A65" w:rsidRPr="00A20ABA">
        <w:rPr>
          <w:rFonts w:ascii="Bahnschrift SemiLight" w:hAnsi="Bahnschrift SemiLight"/>
          <w:bCs/>
        </w:rPr>
        <w:tab/>
      </w:r>
      <w:bookmarkStart w:id="0" w:name="_Hlk87171906"/>
      <w:r w:rsidR="00A100A0" w:rsidRPr="00D5022B">
        <w:rPr>
          <w:rFonts w:asciiTheme="majorHAnsi" w:hAnsiTheme="majorHAnsi"/>
          <w:i/>
          <w:iCs/>
          <w:color w:val="984806" w:themeColor="accent6" w:themeShade="80"/>
          <w:sz w:val="24"/>
          <w:szCs w:val="24"/>
        </w:rPr>
        <w:t xml:space="preserve">Arbor E&amp;T, LLC </w:t>
      </w:r>
      <w:r w:rsidR="00A100A0" w:rsidRPr="00D5022B">
        <w:rPr>
          <w:rFonts w:asciiTheme="majorHAnsi" w:hAnsiTheme="majorHAnsi"/>
          <w:i/>
          <w:iCs/>
          <w:color w:val="984806" w:themeColor="accent6" w:themeShade="80"/>
          <w:sz w:val="16"/>
          <w:szCs w:val="16"/>
        </w:rPr>
        <w:t>dba</w:t>
      </w:r>
      <w:r w:rsidR="00A100A0" w:rsidRPr="00D5022B">
        <w:rPr>
          <w:rFonts w:asciiTheme="majorHAnsi" w:hAnsiTheme="majorHAnsi"/>
          <w:i/>
          <w:iCs/>
          <w:color w:val="984806" w:themeColor="accent6" w:themeShade="80"/>
          <w:sz w:val="24"/>
          <w:szCs w:val="24"/>
        </w:rPr>
        <w:t xml:space="preserve"> Equus Workforce Solutions </w:t>
      </w:r>
      <w:r w:rsidR="00A100A0" w:rsidRPr="00D5022B">
        <w:rPr>
          <w:rFonts w:asciiTheme="majorHAnsi" w:hAnsiTheme="majorHAnsi"/>
          <w:i/>
          <w:iCs/>
          <w:color w:val="984806" w:themeColor="accent6" w:themeShade="80"/>
        </w:rPr>
        <w:t>(EWS)</w:t>
      </w:r>
    </w:p>
    <w:p w14:paraId="0A3A09A2" w14:textId="77777777" w:rsidR="00A100A0" w:rsidRPr="00A100A0" w:rsidRDefault="00A100A0" w:rsidP="00A100A0">
      <w:pPr>
        <w:pStyle w:val="NoSpacing"/>
        <w:ind w:left="2160" w:firstLine="720"/>
        <w:rPr>
          <w:rFonts w:asciiTheme="majorHAnsi" w:hAnsiTheme="majorHAnsi"/>
          <w:i/>
          <w:iCs/>
          <w:color w:val="002060"/>
          <w:sz w:val="24"/>
          <w:szCs w:val="24"/>
        </w:rPr>
      </w:pPr>
      <w:r w:rsidRPr="00D5022B">
        <w:rPr>
          <w:rFonts w:asciiTheme="majorHAnsi" w:hAnsiTheme="majorHAnsi"/>
          <w:i/>
          <w:iCs/>
          <w:color w:val="984806" w:themeColor="accent6" w:themeShade="80"/>
          <w:sz w:val="24"/>
          <w:szCs w:val="24"/>
        </w:rPr>
        <w:t>Rolling Plains Management Corporation, (RPMC)</w:t>
      </w:r>
      <w:r w:rsidRPr="00A100A0">
        <w:rPr>
          <w:rFonts w:asciiTheme="majorHAnsi" w:hAnsiTheme="majorHAnsi"/>
          <w:i/>
          <w:iCs/>
          <w:color w:val="002060"/>
          <w:sz w:val="24"/>
          <w:szCs w:val="24"/>
        </w:rPr>
        <w:t xml:space="preserve"> </w:t>
      </w:r>
    </w:p>
    <w:p w14:paraId="5E7BB064" w14:textId="77777777" w:rsidR="00A100A0" w:rsidRPr="00564D7C" w:rsidRDefault="00B618CE" w:rsidP="00A100A0">
      <w:pPr>
        <w:pStyle w:val="NoSpacing"/>
        <w:ind w:left="2880" w:hanging="2880"/>
        <w:rPr>
          <w:rFonts w:asciiTheme="majorHAnsi" w:hAnsiTheme="majorHAnsi" w:cs="Arial"/>
          <w:b/>
          <w:i/>
          <w:iCs/>
          <w:color w:val="002060"/>
          <w:sz w:val="24"/>
          <w:szCs w:val="24"/>
        </w:rPr>
      </w:pPr>
      <w:r w:rsidRPr="004F2A2C">
        <w:rPr>
          <w:rFonts w:asciiTheme="majorHAnsi" w:hAnsiTheme="majorHAnsi" w:cs="Arial"/>
          <w:bCs/>
          <w:sz w:val="24"/>
          <w:szCs w:val="24"/>
        </w:rPr>
        <w:tab/>
      </w:r>
      <w:r w:rsidR="00A100A0" w:rsidRPr="00230B13">
        <w:rPr>
          <w:rFonts w:asciiTheme="majorHAnsi" w:eastAsiaTheme="majorEastAsia" w:hAnsiTheme="majorHAnsi" w:cs="Arial"/>
          <w:i/>
          <w:iCs/>
          <w:sz w:val="20"/>
          <w:szCs w:val="20"/>
        </w:rPr>
        <w:t>In their capacities of Workforce Center, Child Care and Specialty Contractors in the</w:t>
      </w:r>
      <w:r w:rsidR="00A100A0" w:rsidRPr="00A20ABA">
        <w:rPr>
          <w:rFonts w:ascii="Bahnschrift SemiLight" w:eastAsiaTheme="majorEastAsia" w:hAnsi="Bahnschrift SemiLight" w:cs="Arial"/>
          <w:sz w:val="20"/>
          <w:szCs w:val="20"/>
        </w:rPr>
        <w:t xml:space="preserve"> </w:t>
      </w:r>
      <w:r w:rsidR="00A100A0" w:rsidRPr="00D5022B">
        <w:rPr>
          <w:rFonts w:asciiTheme="majorHAnsi" w:eastAsiaTheme="majorEastAsia" w:hAnsiTheme="majorHAnsi" w:cs="Times New Roman"/>
          <w:b/>
          <w:i/>
          <w:iCs/>
          <w:color w:val="984806" w:themeColor="accent6" w:themeShade="80"/>
          <w:sz w:val="24"/>
          <w:szCs w:val="24"/>
        </w:rPr>
        <w:t>North Texas Workforce Development Area</w:t>
      </w:r>
    </w:p>
    <w:p w14:paraId="604577E8" w14:textId="77777777" w:rsidR="00891CB2" w:rsidRPr="0075102B" w:rsidRDefault="00891CB2" w:rsidP="00495A65">
      <w:pPr>
        <w:pStyle w:val="NoSpacing"/>
        <w:ind w:left="2880" w:hanging="2880"/>
        <w:rPr>
          <w:rFonts w:ascii="Britannic Bold" w:hAnsi="Britannic Bold" w:cs="Arial"/>
          <w:bCs/>
          <w:sz w:val="16"/>
          <w:szCs w:val="16"/>
        </w:rPr>
      </w:pPr>
    </w:p>
    <w:bookmarkEnd w:id="0"/>
    <w:p w14:paraId="6415F5F7" w14:textId="77777777" w:rsidR="003A5C46" w:rsidRDefault="003A5C46" w:rsidP="00495A65">
      <w:pPr>
        <w:pStyle w:val="NoSpacing"/>
        <w:ind w:left="2880" w:hanging="2880"/>
        <w:rPr>
          <w:rFonts w:ascii="Bahnschrift SemiLight" w:hAnsi="Bahnschrift SemiLight" w:cs="Arial"/>
          <w:b/>
          <w:bCs/>
          <w:sz w:val="24"/>
          <w:szCs w:val="24"/>
        </w:rPr>
      </w:pPr>
    </w:p>
    <w:p w14:paraId="3989FA25" w14:textId="76035D2A" w:rsidR="00495A65" w:rsidRPr="00B7100C" w:rsidRDefault="00495A65" w:rsidP="00495A65">
      <w:pPr>
        <w:pStyle w:val="NoSpacing"/>
        <w:ind w:left="2880" w:hanging="2880"/>
        <w:rPr>
          <w:rFonts w:ascii="Bahnschrift SemiLight" w:hAnsi="Bahnschrift SemiLight" w:cs="Arial"/>
          <w:bCs/>
          <w:sz w:val="24"/>
          <w:szCs w:val="24"/>
        </w:rPr>
      </w:pPr>
      <w:r w:rsidRPr="00B7100C">
        <w:rPr>
          <w:rFonts w:ascii="Bahnschrift SemiLight" w:hAnsi="Bahnschrift SemiLight" w:cs="Arial"/>
          <w:b/>
          <w:bCs/>
          <w:sz w:val="24"/>
          <w:szCs w:val="24"/>
        </w:rPr>
        <w:t>Applicable Period:</w:t>
      </w:r>
      <w:r w:rsidRPr="00B7100C">
        <w:rPr>
          <w:rFonts w:ascii="Bahnschrift SemiLight" w:hAnsi="Bahnschrift SemiLight" w:cs="Arial"/>
          <w:b/>
          <w:bCs/>
          <w:sz w:val="24"/>
          <w:szCs w:val="24"/>
        </w:rPr>
        <w:tab/>
      </w:r>
      <w:r w:rsidR="00105229" w:rsidRPr="00B7100C">
        <w:rPr>
          <w:rFonts w:ascii="Bahnschrift SemiLight" w:hAnsi="Bahnschrift SemiLight" w:cs="Arial"/>
          <w:bCs/>
          <w:sz w:val="24"/>
          <w:szCs w:val="24"/>
        </w:rPr>
        <w:t>Octo</w:t>
      </w:r>
      <w:r w:rsidR="009F47E1" w:rsidRPr="00B7100C">
        <w:rPr>
          <w:rFonts w:ascii="Bahnschrift SemiLight" w:hAnsi="Bahnschrift SemiLight" w:cs="Arial"/>
          <w:bCs/>
          <w:sz w:val="24"/>
          <w:szCs w:val="24"/>
        </w:rPr>
        <w:t>ber 1</w:t>
      </w:r>
      <w:r w:rsidR="00984F90" w:rsidRPr="00B7100C">
        <w:rPr>
          <w:rFonts w:ascii="Bahnschrift SemiLight" w:hAnsi="Bahnschrift SemiLight" w:cs="Arial"/>
          <w:bCs/>
          <w:sz w:val="24"/>
          <w:szCs w:val="24"/>
        </w:rPr>
        <w:t>, 20</w:t>
      </w:r>
      <w:r w:rsidR="00427B66">
        <w:rPr>
          <w:rFonts w:ascii="Bahnschrift SemiLight" w:hAnsi="Bahnschrift SemiLight" w:cs="Arial"/>
          <w:bCs/>
          <w:sz w:val="24"/>
          <w:szCs w:val="24"/>
        </w:rPr>
        <w:t>2</w:t>
      </w:r>
      <w:r w:rsidR="00B61598">
        <w:rPr>
          <w:rFonts w:ascii="Bahnschrift SemiLight" w:hAnsi="Bahnschrift SemiLight" w:cs="Arial"/>
          <w:bCs/>
          <w:sz w:val="24"/>
          <w:szCs w:val="24"/>
        </w:rPr>
        <w:t>2</w:t>
      </w:r>
      <w:r w:rsidRPr="00B7100C">
        <w:rPr>
          <w:rFonts w:ascii="Bahnschrift SemiLight" w:hAnsi="Bahnschrift SemiLight" w:cs="Arial"/>
          <w:bCs/>
          <w:sz w:val="24"/>
          <w:szCs w:val="24"/>
        </w:rPr>
        <w:t xml:space="preserve"> through </w:t>
      </w:r>
      <w:r w:rsidR="00984F90" w:rsidRPr="00B7100C">
        <w:rPr>
          <w:rFonts w:ascii="Bahnschrift SemiLight" w:hAnsi="Bahnschrift SemiLight" w:cs="Arial"/>
          <w:bCs/>
          <w:sz w:val="24"/>
          <w:szCs w:val="24"/>
        </w:rPr>
        <w:t>September 30, 20</w:t>
      </w:r>
      <w:r w:rsidR="00B7100C">
        <w:rPr>
          <w:rFonts w:ascii="Bahnschrift SemiLight" w:hAnsi="Bahnschrift SemiLight" w:cs="Arial"/>
          <w:bCs/>
          <w:sz w:val="24"/>
          <w:szCs w:val="24"/>
        </w:rPr>
        <w:t>2</w:t>
      </w:r>
      <w:r w:rsidR="00B61598">
        <w:rPr>
          <w:rFonts w:ascii="Bahnschrift SemiLight" w:hAnsi="Bahnschrift SemiLight" w:cs="Arial"/>
          <w:bCs/>
          <w:sz w:val="24"/>
          <w:szCs w:val="24"/>
        </w:rPr>
        <w:t>3</w:t>
      </w:r>
    </w:p>
    <w:p w14:paraId="7D4E291E" w14:textId="77777777" w:rsidR="003A5C46" w:rsidRDefault="003A5C46" w:rsidP="007700DF">
      <w:pPr>
        <w:pStyle w:val="NoSpacing"/>
        <w:rPr>
          <w:rFonts w:ascii="Bahnschrift SemiLight" w:hAnsi="Bahnschrift SemiLight" w:cs="Arial"/>
          <w:b/>
          <w:bCs/>
          <w:sz w:val="24"/>
          <w:szCs w:val="24"/>
        </w:rPr>
      </w:pPr>
    </w:p>
    <w:p w14:paraId="3A8C4F45" w14:textId="4C880F86" w:rsidR="007700DF" w:rsidRPr="0092725F" w:rsidRDefault="00FB7167" w:rsidP="007700DF">
      <w:pPr>
        <w:pStyle w:val="NoSpacing"/>
        <w:rPr>
          <w:rFonts w:ascii="Arial" w:hAnsi="Arial" w:cs="Arial"/>
          <w:bCs/>
          <w:sz w:val="24"/>
          <w:szCs w:val="24"/>
        </w:rPr>
      </w:pPr>
      <w:r w:rsidRPr="00B7100C">
        <w:rPr>
          <w:rFonts w:ascii="Bahnschrift SemiLight" w:hAnsi="Bahnschrift SemiLight" w:cs="Arial"/>
          <w:b/>
          <w:bCs/>
          <w:sz w:val="24"/>
          <w:szCs w:val="24"/>
        </w:rPr>
        <w:t>Review Conducted</w:t>
      </w:r>
      <w:r w:rsidR="000E75DD" w:rsidRPr="00B7100C">
        <w:rPr>
          <w:rFonts w:ascii="Bahnschrift SemiLight" w:hAnsi="Bahnschrift SemiLight" w:cs="Arial"/>
          <w:b/>
          <w:bCs/>
          <w:sz w:val="24"/>
          <w:szCs w:val="24"/>
        </w:rPr>
        <w:t xml:space="preserve"> b</w:t>
      </w:r>
      <w:r w:rsidR="007700DF" w:rsidRPr="00B7100C">
        <w:rPr>
          <w:rFonts w:ascii="Bahnschrift SemiLight" w:hAnsi="Bahnschrift SemiLight" w:cs="Arial"/>
          <w:b/>
          <w:bCs/>
          <w:sz w:val="24"/>
          <w:szCs w:val="24"/>
        </w:rPr>
        <w:t>y:</w:t>
      </w:r>
      <w:r>
        <w:rPr>
          <w:rFonts w:ascii="Arial" w:hAnsi="Arial" w:cs="Arial"/>
          <w:b/>
          <w:bCs/>
          <w:sz w:val="24"/>
          <w:szCs w:val="24"/>
        </w:rPr>
        <w:t xml:space="preserve">  </w:t>
      </w:r>
      <w:r>
        <w:rPr>
          <w:rFonts w:ascii="Arial" w:hAnsi="Arial" w:cs="Arial"/>
          <w:b/>
          <w:bCs/>
          <w:sz w:val="24"/>
          <w:szCs w:val="24"/>
        </w:rPr>
        <w:tab/>
      </w:r>
      <w:bookmarkStart w:id="1" w:name="_Hlk87171987"/>
      <w:r w:rsidR="00A100A0" w:rsidRPr="00A100A0">
        <w:rPr>
          <w:rFonts w:asciiTheme="majorHAnsi" w:hAnsiTheme="majorHAnsi" w:cs="Times New Roman"/>
          <w:b/>
          <w:color w:val="984806" w:themeColor="accent6" w:themeShade="80"/>
          <w:sz w:val="40"/>
          <w:szCs w:val="40"/>
        </w:rPr>
        <w:t>D</w:t>
      </w:r>
      <w:r w:rsidR="00A100A0" w:rsidRPr="00A100A0">
        <w:rPr>
          <w:rFonts w:asciiTheme="majorHAnsi" w:hAnsiTheme="majorHAnsi" w:cs="Arial"/>
        </w:rPr>
        <w:t>i</w:t>
      </w:r>
      <w:r w:rsidR="00A100A0">
        <w:rPr>
          <w:rFonts w:ascii="Arial Narrow" w:hAnsi="Arial Narrow" w:cs="Arial"/>
        </w:rPr>
        <w:t xml:space="preserve">az, </w:t>
      </w:r>
      <w:r w:rsidR="00A100A0" w:rsidRPr="00A100A0">
        <w:rPr>
          <w:rFonts w:asciiTheme="majorHAnsi" w:hAnsiTheme="majorHAnsi" w:cs="Times New Roman"/>
          <w:b/>
          <w:color w:val="984806" w:themeColor="accent6" w:themeShade="80"/>
          <w:sz w:val="40"/>
          <w:szCs w:val="40"/>
        </w:rPr>
        <w:t>S</w:t>
      </w:r>
      <w:r w:rsidR="00A100A0">
        <w:rPr>
          <w:rFonts w:ascii="Arial Narrow" w:hAnsi="Arial Narrow" w:cs="Arial"/>
        </w:rPr>
        <w:t>mith</w:t>
      </w:r>
      <w:r w:rsidR="00A100A0" w:rsidRPr="00834969">
        <w:rPr>
          <w:rFonts w:ascii="Arial Narrow" w:hAnsi="Arial Narrow" w:cs="Arial"/>
          <w:sz w:val="20"/>
          <w:szCs w:val="20"/>
        </w:rPr>
        <w:t xml:space="preserve"> </w:t>
      </w:r>
      <w:r w:rsidR="00A100A0">
        <w:rPr>
          <w:rFonts w:ascii="Arial Narrow" w:hAnsi="Arial Narrow" w:cs="Arial"/>
          <w:color w:val="000000"/>
          <w:sz w:val="15"/>
          <w:szCs w:val="15"/>
        </w:rPr>
        <w:t xml:space="preserve">and </w:t>
      </w:r>
      <w:r w:rsidR="00A100A0" w:rsidRPr="00A100A0">
        <w:rPr>
          <w:rFonts w:asciiTheme="majorHAnsi" w:hAnsiTheme="majorHAnsi" w:cs="Times New Roman"/>
          <w:b/>
          <w:color w:val="984806" w:themeColor="accent6" w:themeShade="80"/>
          <w:sz w:val="40"/>
          <w:szCs w:val="40"/>
        </w:rPr>
        <w:t>A</w:t>
      </w:r>
      <w:r w:rsidR="00A100A0" w:rsidRPr="00054B4C">
        <w:rPr>
          <w:rFonts w:ascii="Arial Narrow" w:hAnsi="Arial Narrow" w:cs="Arial"/>
          <w:color w:val="000000"/>
        </w:rPr>
        <w:t>ssociates</w:t>
      </w:r>
      <w:r w:rsidR="00A100A0" w:rsidRPr="00F97940">
        <w:rPr>
          <w:rFonts w:ascii="Times New Roman" w:hAnsi="Times New Roman" w:cs="Times New Roman"/>
          <w:b/>
          <w:color w:val="0070C0"/>
          <w:sz w:val="40"/>
          <w:szCs w:val="40"/>
        </w:rPr>
        <w:t xml:space="preserve"> </w:t>
      </w:r>
    </w:p>
    <w:bookmarkEnd w:id="1"/>
    <w:p w14:paraId="7B4B4A15" w14:textId="3859F149" w:rsidR="00A100A0" w:rsidRDefault="00A100A0" w:rsidP="007700DF">
      <w:pPr>
        <w:pStyle w:val="NoSpacing"/>
        <w:ind w:left="2160" w:firstLine="720"/>
        <w:rPr>
          <w:rFonts w:ascii="Bahnschrift SemiLight" w:hAnsi="Bahnschrift SemiLight" w:cs="Arial"/>
          <w:bCs/>
          <w:sz w:val="24"/>
          <w:szCs w:val="24"/>
        </w:rPr>
      </w:pPr>
      <w:r>
        <w:rPr>
          <w:rFonts w:ascii="Bahnschrift SemiLight" w:hAnsi="Bahnschrift SemiLight" w:cs="Arial"/>
          <w:bCs/>
          <w:sz w:val="24"/>
          <w:szCs w:val="24"/>
        </w:rPr>
        <w:t>Anna Rocha Diaz</w:t>
      </w:r>
    </w:p>
    <w:p w14:paraId="33C9EF25" w14:textId="62DE0AA5" w:rsidR="007700DF" w:rsidRPr="00B7100C" w:rsidRDefault="00FB7167" w:rsidP="007700DF">
      <w:pPr>
        <w:pStyle w:val="NoSpacing"/>
        <w:ind w:left="2160" w:firstLine="720"/>
        <w:rPr>
          <w:rFonts w:ascii="Bahnschrift SemiLight" w:hAnsi="Bahnschrift SemiLight" w:cs="Arial"/>
          <w:bCs/>
          <w:sz w:val="24"/>
          <w:szCs w:val="24"/>
        </w:rPr>
      </w:pPr>
      <w:r w:rsidRPr="00B7100C">
        <w:rPr>
          <w:rFonts w:ascii="Bahnschrift SemiLight" w:hAnsi="Bahnschrift SemiLight" w:cs="Arial"/>
          <w:bCs/>
          <w:sz w:val="24"/>
          <w:szCs w:val="24"/>
        </w:rPr>
        <w:t xml:space="preserve">Sujuane Smith </w:t>
      </w:r>
    </w:p>
    <w:p w14:paraId="64E8398D" w14:textId="47C90F79" w:rsidR="007700DF" w:rsidRPr="00B7100C" w:rsidRDefault="00FB7167" w:rsidP="007700DF">
      <w:pPr>
        <w:pStyle w:val="NoSpacing"/>
        <w:rPr>
          <w:rFonts w:ascii="Bahnschrift SemiLight" w:hAnsi="Bahnschrift SemiLight" w:cs="Arial"/>
          <w:bCs/>
          <w:sz w:val="24"/>
          <w:szCs w:val="24"/>
        </w:rPr>
      </w:pPr>
      <w:r w:rsidRPr="00B7100C">
        <w:rPr>
          <w:rFonts w:ascii="Bahnschrift SemiLight" w:hAnsi="Bahnschrift SemiLight" w:cs="Arial"/>
          <w:bCs/>
          <w:sz w:val="24"/>
          <w:szCs w:val="24"/>
        </w:rPr>
        <w:tab/>
      </w:r>
      <w:r w:rsidR="007700DF" w:rsidRPr="00B7100C">
        <w:rPr>
          <w:rFonts w:ascii="Bahnschrift SemiLight" w:hAnsi="Bahnschrift SemiLight" w:cs="Arial"/>
          <w:bCs/>
          <w:sz w:val="24"/>
          <w:szCs w:val="24"/>
        </w:rPr>
        <w:tab/>
      </w:r>
      <w:r w:rsidR="007700DF" w:rsidRPr="00B7100C">
        <w:rPr>
          <w:rFonts w:ascii="Bahnschrift SemiLight" w:hAnsi="Bahnschrift SemiLight" w:cs="Arial"/>
          <w:bCs/>
          <w:sz w:val="24"/>
          <w:szCs w:val="24"/>
        </w:rPr>
        <w:tab/>
      </w:r>
      <w:r w:rsidR="007700DF" w:rsidRPr="00B7100C">
        <w:rPr>
          <w:rFonts w:ascii="Bahnschrift SemiLight" w:hAnsi="Bahnschrift SemiLight" w:cs="Arial"/>
          <w:bCs/>
          <w:sz w:val="24"/>
          <w:szCs w:val="24"/>
        </w:rPr>
        <w:tab/>
        <w:t xml:space="preserve">Edward Taylor </w:t>
      </w:r>
    </w:p>
    <w:p w14:paraId="3BF4D1A1" w14:textId="77777777" w:rsidR="007700DF" w:rsidRPr="00B7100C" w:rsidRDefault="007700DF" w:rsidP="007700DF">
      <w:pPr>
        <w:pStyle w:val="NoSpacing"/>
        <w:rPr>
          <w:rFonts w:ascii="Bahnschrift SemiLight" w:hAnsi="Bahnschrift SemiLight"/>
          <w:b/>
          <w:sz w:val="20"/>
          <w:szCs w:val="20"/>
        </w:rPr>
      </w:pPr>
      <w:r w:rsidRPr="00B7100C">
        <w:rPr>
          <w:rFonts w:ascii="Bahnschrift SemiLight" w:hAnsi="Bahnschrift SemiLight" w:cs="Arial"/>
          <w:bCs/>
          <w:sz w:val="24"/>
          <w:szCs w:val="24"/>
        </w:rPr>
        <w:tab/>
      </w:r>
      <w:r w:rsidRPr="00B7100C">
        <w:rPr>
          <w:rFonts w:ascii="Bahnschrift SemiLight" w:hAnsi="Bahnschrift SemiLight" w:cs="Arial"/>
          <w:bCs/>
          <w:sz w:val="24"/>
          <w:szCs w:val="24"/>
        </w:rPr>
        <w:tab/>
      </w:r>
    </w:p>
    <w:p w14:paraId="3A1AED8C" w14:textId="77777777" w:rsidR="007700DF" w:rsidRPr="00B7100C" w:rsidRDefault="000E75DD" w:rsidP="007700DF">
      <w:pPr>
        <w:pStyle w:val="NoSpacing"/>
        <w:rPr>
          <w:rFonts w:ascii="Bahnschrift SemiLight" w:hAnsi="Bahnschrift SemiLight"/>
        </w:rPr>
      </w:pPr>
      <w:r w:rsidRPr="00B7100C">
        <w:rPr>
          <w:rFonts w:ascii="Bahnschrift SemiLight" w:hAnsi="Bahnschrift SemiLight" w:cs="Arial"/>
          <w:b/>
          <w:sz w:val="24"/>
          <w:szCs w:val="24"/>
        </w:rPr>
        <w:t>Report Developed b</w:t>
      </w:r>
      <w:r w:rsidR="007700DF" w:rsidRPr="00B7100C">
        <w:rPr>
          <w:rFonts w:ascii="Bahnschrift SemiLight" w:hAnsi="Bahnschrift SemiLight" w:cs="Arial"/>
          <w:b/>
          <w:sz w:val="24"/>
          <w:szCs w:val="24"/>
        </w:rPr>
        <w:t>y:</w:t>
      </w:r>
      <w:r w:rsidR="007700DF" w:rsidRPr="00B7100C">
        <w:rPr>
          <w:rFonts w:ascii="Bahnschrift SemiLight" w:hAnsi="Bahnschrift SemiLight"/>
          <w:b/>
        </w:rPr>
        <w:t xml:space="preserve"> </w:t>
      </w:r>
      <w:r w:rsidR="007700DF" w:rsidRPr="00B7100C">
        <w:rPr>
          <w:rFonts w:ascii="Bahnschrift SemiLight" w:hAnsi="Bahnschrift SemiLight"/>
        </w:rPr>
        <w:tab/>
      </w:r>
      <w:r w:rsidR="007700DF" w:rsidRPr="00B7100C">
        <w:rPr>
          <w:rFonts w:ascii="Bahnschrift SemiLight" w:hAnsi="Bahnschrift SemiLight" w:cs="Arial"/>
          <w:sz w:val="24"/>
          <w:szCs w:val="24"/>
        </w:rPr>
        <w:t>Edward Taylor</w:t>
      </w:r>
    </w:p>
    <w:p w14:paraId="3617E874" w14:textId="77777777" w:rsidR="003F5AAF" w:rsidRPr="00B7100C" w:rsidRDefault="003F5AAF" w:rsidP="003F5AAF">
      <w:pPr>
        <w:pStyle w:val="NoSpacing"/>
        <w:rPr>
          <w:rFonts w:ascii="Bahnschrift SemiLight" w:hAnsi="Bahnschrift SemiLight"/>
          <w:color w:val="FF0000"/>
          <w:sz w:val="16"/>
          <w:szCs w:val="16"/>
        </w:rPr>
      </w:pPr>
    </w:p>
    <w:p w14:paraId="4E3D86C0" w14:textId="77777777" w:rsidR="00AA679F" w:rsidRDefault="00AA679F" w:rsidP="00AA679F">
      <w:pPr>
        <w:pStyle w:val="NoSpacing"/>
        <w:rPr>
          <w:sz w:val="16"/>
          <w:szCs w:val="16"/>
        </w:rPr>
      </w:pPr>
    </w:p>
    <w:p w14:paraId="29676112" w14:textId="77777777" w:rsidR="003A5C46" w:rsidRDefault="003A5C46" w:rsidP="00AA679F">
      <w:pPr>
        <w:pStyle w:val="NoSpacing"/>
        <w:rPr>
          <w:sz w:val="16"/>
          <w:szCs w:val="16"/>
        </w:rPr>
      </w:pPr>
    </w:p>
    <w:p w14:paraId="7E03C9E6" w14:textId="77777777" w:rsidR="003A5C46" w:rsidRDefault="003A5C46" w:rsidP="00AA679F">
      <w:pPr>
        <w:pStyle w:val="NoSpacing"/>
        <w:rPr>
          <w:sz w:val="16"/>
          <w:szCs w:val="16"/>
        </w:rPr>
      </w:pPr>
    </w:p>
    <w:p w14:paraId="72657F01" w14:textId="77777777" w:rsidR="003A5C46" w:rsidRDefault="003A5C46" w:rsidP="00AA679F">
      <w:pPr>
        <w:pStyle w:val="NoSpacing"/>
        <w:rPr>
          <w:sz w:val="16"/>
          <w:szCs w:val="16"/>
        </w:rPr>
      </w:pPr>
    </w:p>
    <w:p w14:paraId="3AC62C58" w14:textId="77777777" w:rsidR="003A5C46" w:rsidRDefault="003A5C46" w:rsidP="00AA679F">
      <w:pPr>
        <w:pStyle w:val="NoSpacing"/>
        <w:rPr>
          <w:sz w:val="16"/>
          <w:szCs w:val="16"/>
        </w:rPr>
      </w:pPr>
    </w:p>
    <w:p w14:paraId="5FA003DC" w14:textId="77777777" w:rsidR="003A5C46" w:rsidRDefault="003A5C46" w:rsidP="00AA679F">
      <w:pPr>
        <w:pStyle w:val="NoSpacing"/>
        <w:rPr>
          <w:sz w:val="16"/>
          <w:szCs w:val="16"/>
        </w:rPr>
      </w:pPr>
    </w:p>
    <w:p w14:paraId="18C0EB3C" w14:textId="77777777" w:rsidR="003A5C46" w:rsidRDefault="003A5C46" w:rsidP="00AA679F">
      <w:pPr>
        <w:pStyle w:val="NoSpacing"/>
        <w:rPr>
          <w:sz w:val="16"/>
          <w:szCs w:val="16"/>
        </w:rPr>
      </w:pPr>
    </w:p>
    <w:p w14:paraId="3C0D2E3F" w14:textId="77777777" w:rsidR="003A5C46" w:rsidRDefault="003A5C46" w:rsidP="00AA679F">
      <w:pPr>
        <w:pStyle w:val="NoSpacing"/>
        <w:rPr>
          <w:sz w:val="16"/>
          <w:szCs w:val="16"/>
        </w:rPr>
      </w:pPr>
    </w:p>
    <w:p w14:paraId="60B3EB5F" w14:textId="77777777" w:rsidR="003A5C46" w:rsidRDefault="003A5C46" w:rsidP="00AA679F">
      <w:pPr>
        <w:pStyle w:val="NoSpacing"/>
        <w:rPr>
          <w:sz w:val="16"/>
          <w:szCs w:val="16"/>
        </w:rPr>
      </w:pPr>
    </w:p>
    <w:p w14:paraId="71597619" w14:textId="77777777" w:rsidR="003A5C46" w:rsidRDefault="003A5C46" w:rsidP="00AA679F">
      <w:pPr>
        <w:pStyle w:val="NoSpacing"/>
        <w:rPr>
          <w:sz w:val="16"/>
          <w:szCs w:val="16"/>
        </w:rPr>
      </w:pPr>
    </w:p>
    <w:p w14:paraId="10148E14" w14:textId="77777777" w:rsidR="003A5C46" w:rsidRDefault="003A5C46" w:rsidP="00AA679F">
      <w:pPr>
        <w:pStyle w:val="NoSpacing"/>
        <w:rPr>
          <w:sz w:val="16"/>
          <w:szCs w:val="16"/>
        </w:rPr>
      </w:pPr>
    </w:p>
    <w:p w14:paraId="7F9B4571" w14:textId="77777777" w:rsidR="003A5C46" w:rsidRDefault="003A5C46" w:rsidP="00AA679F">
      <w:pPr>
        <w:pStyle w:val="NoSpacing"/>
        <w:rPr>
          <w:sz w:val="16"/>
          <w:szCs w:val="16"/>
        </w:rPr>
      </w:pPr>
    </w:p>
    <w:p w14:paraId="02C3F864" w14:textId="77777777" w:rsidR="003A5C46" w:rsidRDefault="003A5C46" w:rsidP="00AA679F">
      <w:pPr>
        <w:pStyle w:val="NoSpacing"/>
        <w:rPr>
          <w:sz w:val="16"/>
          <w:szCs w:val="16"/>
        </w:rPr>
      </w:pPr>
    </w:p>
    <w:p w14:paraId="331CBD04" w14:textId="77777777" w:rsidR="003A5C46" w:rsidRDefault="003A5C46" w:rsidP="00AA679F">
      <w:pPr>
        <w:pStyle w:val="NoSpacing"/>
        <w:rPr>
          <w:sz w:val="16"/>
          <w:szCs w:val="16"/>
        </w:rPr>
      </w:pPr>
    </w:p>
    <w:p w14:paraId="708C0E21" w14:textId="00A9B007" w:rsidR="00920631" w:rsidRDefault="00920631" w:rsidP="00AA679F">
      <w:pPr>
        <w:pStyle w:val="NoSpacing"/>
        <w:rPr>
          <w:sz w:val="16"/>
          <w:szCs w:val="16"/>
        </w:rPr>
      </w:pPr>
    </w:p>
    <w:p w14:paraId="08D2AB01" w14:textId="77777777" w:rsidR="00A100A0" w:rsidRDefault="00A100A0" w:rsidP="00AA679F">
      <w:pPr>
        <w:pStyle w:val="NoSpacing"/>
        <w:rPr>
          <w:sz w:val="16"/>
          <w:szCs w:val="16"/>
        </w:rPr>
      </w:pPr>
    </w:p>
    <w:p w14:paraId="48070A5D" w14:textId="77777777" w:rsidR="00920631" w:rsidRDefault="00920631" w:rsidP="00AA679F">
      <w:pPr>
        <w:pStyle w:val="NoSpacing"/>
        <w:rPr>
          <w:sz w:val="16"/>
          <w:szCs w:val="16"/>
        </w:rPr>
      </w:pPr>
    </w:p>
    <w:p w14:paraId="51256DB9" w14:textId="77777777" w:rsidR="003A5C46" w:rsidRDefault="003A5C46" w:rsidP="00AA679F">
      <w:pPr>
        <w:pStyle w:val="NoSpacing"/>
        <w:rPr>
          <w:sz w:val="16"/>
          <w:szCs w:val="16"/>
        </w:rPr>
      </w:pPr>
    </w:p>
    <w:p w14:paraId="23EF272E" w14:textId="77777777" w:rsidR="003A5C46" w:rsidRDefault="003A5C46" w:rsidP="00AA679F">
      <w:pPr>
        <w:pStyle w:val="NoSpacing"/>
        <w:rPr>
          <w:sz w:val="16"/>
          <w:szCs w:val="16"/>
        </w:rPr>
      </w:pPr>
    </w:p>
    <w:p w14:paraId="28BEC270" w14:textId="5B99825C" w:rsidR="00B549BB" w:rsidRPr="00B61598" w:rsidRDefault="00D5022B" w:rsidP="00B549BB">
      <w:pPr>
        <w:pStyle w:val="NoSpacing"/>
        <w:rPr>
          <w:rFonts w:ascii="Cambria" w:hAnsi="Cambria"/>
          <w:sz w:val="28"/>
          <w:szCs w:val="28"/>
          <w:highlight w:val="darkBlue"/>
        </w:rPr>
      </w:pPr>
      <w:r>
        <w:rPr>
          <w:rFonts w:ascii="Times New Roman" w:hAnsi="Times New Roman" w:cs="Times New Roman"/>
          <w:b/>
          <w:color w:val="70AD47"/>
          <w:spacing w:val="10"/>
          <w:sz w:val="96"/>
          <w:szCs w:val="96"/>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solidFill>
              <w14:srgbClr w14:val="70AD47">
                <w14:tint w14:val="1000"/>
              </w14:srgbClr>
            </w14:solidFill>
          </w14:textFill>
        </w:rPr>
        <w:lastRenderedPageBreak/>
        <w:t>F</w:t>
      </w:r>
      <w:r w:rsidR="00B549BB" w:rsidRPr="00B61598">
        <w:rPr>
          <w:rFonts w:ascii="Cambria" w:hAnsi="Cambria" w:cs="Arial"/>
          <w:sz w:val="28"/>
          <w:szCs w:val="28"/>
        </w:rPr>
        <w:t>inancial Risk Assessment Background</w:t>
      </w:r>
    </w:p>
    <w:p w14:paraId="39361B67" w14:textId="77777777" w:rsidR="00B549BB" w:rsidRPr="00A100A0" w:rsidRDefault="00B549BB" w:rsidP="00B549BB">
      <w:pPr>
        <w:pStyle w:val="NoSpacing"/>
        <w:pBdr>
          <w:top w:val="single" w:sz="4" w:space="1" w:color="auto"/>
        </w:pBdr>
        <w:rPr>
          <w:rFonts w:ascii="Arial Narrow" w:hAnsi="Arial Narrow"/>
          <w:sz w:val="16"/>
          <w:szCs w:val="16"/>
        </w:rPr>
      </w:pPr>
    </w:p>
    <w:p w14:paraId="29F96983" w14:textId="77777777" w:rsidR="00B549BB" w:rsidRPr="00B61598" w:rsidRDefault="00B549BB" w:rsidP="00B549BB">
      <w:pPr>
        <w:pStyle w:val="NoSpacing"/>
        <w:rPr>
          <w:rFonts w:ascii="Cambria" w:hAnsi="Cambria"/>
          <w:b/>
          <w:bCs/>
          <w:sz w:val="24"/>
          <w:szCs w:val="24"/>
          <w:u w:val="single"/>
        </w:rPr>
      </w:pPr>
      <w:r w:rsidRPr="00B61598">
        <w:rPr>
          <w:rFonts w:ascii="Cambria" w:hAnsi="Cambria"/>
          <w:b/>
          <w:bCs/>
          <w:sz w:val="24"/>
          <w:szCs w:val="24"/>
          <w:u w:val="single"/>
        </w:rPr>
        <w:t>Background</w:t>
      </w:r>
    </w:p>
    <w:p w14:paraId="60518F58" w14:textId="77777777" w:rsidR="00B549BB" w:rsidRPr="001D5EB5" w:rsidRDefault="00B549BB" w:rsidP="00B549BB">
      <w:pPr>
        <w:pStyle w:val="NoSpacing"/>
        <w:rPr>
          <w:rFonts w:ascii="Bahnschrift SemiLight" w:hAnsi="Bahnschrift SemiLight" w:cs="Arial"/>
          <w:sz w:val="24"/>
          <w:szCs w:val="24"/>
        </w:rPr>
      </w:pPr>
      <w:r w:rsidRPr="001D5EB5">
        <w:rPr>
          <w:rFonts w:ascii="Bahnschrift SemiLight" w:hAnsi="Bahnschrift SemiLight" w:cs="Arial"/>
          <w:sz w:val="24"/>
          <w:szCs w:val="24"/>
        </w:rPr>
        <w:t xml:space="preserve">Risk assessment is the identification, analysis, and measuring of relevant risk(s) that may impede or impair an organization’s ability to achieve contracted goals and objectives. </w:t>
      </w:r>
    </w:p>
    <w:p w14:paraId="33F50B1F" w14:textId="39146C19" w:rsidR="00B549BB" w:rsidRPr="001D5EB5" w:rsidRDefault="00B549BB" w:rsidP="00B549BB">
      <w:pPr>
        <w:pStyle w:val="NoSpacing"/>
        <w:rPr>
          <w:rFonts w:ascii="Bahnschrift SemiLight" w:hAnsi="Bahnschrift SemiLight"/>
          <w:i/>
        </w:rPr>
      </w:pPr>
      <w:r w:rsidRPr="001D5EB5">
        <w:rPr>
          <w:rFonts w:ascii="Bahnschrift SemiLight" w:hAnsi="Bahnschrift SemiLight" w:cs="Arial"/>
          <w:sz w:val="24"/>
          <w:szCs w:val="24"/>
        </w:rPr>
        <w:t>This report provides the results of the financial and procurement risk assessment evaluation of the Board</w:t>
      </w:r>
      <w:r w:rsidR="00156E7C">
        <w:rPr>
          <w:rFonts w:ascii="Bahnschrift SemiLight" w:hAnsi="Bahnschrift SemiLight" w:cs="Arial"/>
          <w:sz w:val="24"/>
          <w:szCs w:val="24"/>
        </w:rPr>
        <w:t xml:space="preserve">s </w:t>
      </w:r>
      <w:r w:rsidR="00156E7C" w:rsidRPr="00156E7C">
        <w:rPr>
          <w:rFonts w:asciiTheme="majorHAnsi" w:hAnsiTheme="majorHAnsi" w:cs="Arial"/>
          <w:i/>
          <w:iCs/>
          <w:sz w:val="24"/>
          <w:szCs w:val="24"/>
        </w:rPr>
        <w:t>Workforce</w:t>
      </w:r>
      <w:r w:rsidR="00A100A0">
        <w:rPr>
          <w:rFonts w:asciiTheme="majorHAnsi" w:hAnsiTheme="majorHAnsi" w:cs="Arial"/>
          <w:i/>
          <w:iCs/>
          <w:sz w:val="24"/>
          <w:szCs w:val="24"/>
        </w:rPr>
        <w:t xml:space="preserve">, </w:t>
      </w:r>
      <w:r w:rsidR="00A100A0" w:rsidRPr="00156E7C">
        <w:rPr>
          <w:rFonts w:asciiTheme="majorHAnsi" w:hAnsiTheme="majorHAnsi" w:cs="Arial"/>
          <w:i/>
          <w:iCs/>
          <w:sz w:val="24"/>
          <w:szCs w:val="24"/>
        </w:rPr>
        <w:t>Child Care</w:t>
      </w:r>
      <w:r w:rsidR="00156E7C" w:rsidRPr="00156E7C">
        <w:rPr>
          <w:rFonts w:asciiTheme="majorHAnsi" w:hAnsiTheme="majorHAnsi" w:cs="Arial"/>
          <w:i/>
          <w:iCs/>
          <w:sz w:val="24"/>
          <w:szCs w:val="24"/>
        </w:rPr>
        <w:t xml:space="preserve"> </w:t>
      </w:r>
      <w:r w:rsidR="00156E7C">
        <w:rPr>
          <w:rFonts w:ascii="Bahnschrift SemiLight" w:hAnsi="Bahnschrift SemiLight" w:cs="Arial"/>
          <w:sz w:val="24"/>
          <w:szCs w:val="24"/>
        </w:rPr>
        <w:t xml:space="preserve">and </w:t>
      </w:r>
      <w:r w:rsidR="00A100A0">
        <w:rPr>
          <w:rFonts w:asciiTheme="majorHAnsi" w:hAnsiTheme="majorHAnsi" w:cs="Arial"/>
          <w:i/>
          <w:iCs/>
          <w:sz w:val="24"/>
          <w:szCs w:val="24"/>
        </w:rPr>
        <w:t xml:space="preserve">Specialty </w:t>
      </w:r>
      <w:r w:rsidRPr="001D5EB5">
        <w:rPr>
          <w:rFonts w:ascii="Bahnschrift SemiLight" w:hAnsi="Bahnschrift SemiLight" w:cs="Arial"/>
          <w:sz w:val="24"/>
          <w:szCs w:val="24"/>
        </w:rPr>
        <w:t>contractors</w:t>
      </w:r>
      <w:r w:rsidR="00156E7C">
        <w:rPr>
          <w:rFonts w:ascii="Bahnschrift SemiLight" w:hAnsi="Bahnschrift SemiLight" w:cs="Arial"/>
          <w:sz w:val="24"/>
          <w:szCs w:val="24"/>
        </w:rPr>
        <w:t xml:space="preserve">. </w:t>
      </w:r>
    </w:p>
    <w:p w14:paraId="5AB86A2B" w14:textId="77777777" w:rsidR="00B549BB" w:rsidRPr="00A100A0" w:rsidRDefault="00B549BB" w:rsidP="00B549BB">
      <w:pPr>
        <w:pStyle w:val="NoSpacing"/>
        <w:rPr>
          <w:rFonts w:ascii="Bahnschrift SemiLight" w:hAnsi="Bahnschrift SemiLight" w:cs="Arial"/>
          <w:sz w:val="16"/>
          <w:szCs w:val="16"/>
        </w:rPr>
      </w:pPr>
      <w:r w:rsidRPr="001D5EB5">
        <w:rPr>
          <w:rFonts w:ascii="Bahnschrift SemiLight" w:hAnsi="Bahnschrift SemiLight"/>
          <w:i/>
        </w:rPr>
        <w:t xml:space="preserve"> </w:t>
      </w:r>
    </w:p>
    <w:p w14:paraId="6FCDDF84" w14:textId="50FE7081" w:rsidR="00B549BB" w:rsidRPr="001D5EB5" w:rsidRDefault="00B549BB" w:rsidP="00B549BB">
      <w:pPr>
        <w:pStyle w:val="NoSpacing"/>
        <w:rPr>
          <w:rFonts w:ascii="Bahnschrift SemiLight" w:hAnsi="Bahnschrift SemiLight" w:cs="Arial"/>
          <w:sz w:val="24"/>
        </w:rPr>
      </w:pPr>
      <w:r w:rsidRPr="001D5EB5">
        <w:rPr>
          <w:rFonts w:ascii="Bahnschrift SemiLight" w:hAnsi="Bahnschrift SemiLight" w:cs="Arial"/>
          <w:sz w:val="24"/>
          <w:szCs w:val="24"/>
        </w:rPr>
        <w:t>This risk assessment of the Board subcontractor</w:t>
      </w:r>
      <w:r w:rsidR="00156E7C">
        <w:rPr>
          <w:rFonts w:ascii="Bahnschrift SemiLight" w:hAnsi="Bahnschrift SemiLight" w:cs="Arial"/>
          <w:sz w:val="24"/>
          <w:szCs w:val="24"/>
        </w:rPr>
        <w:t>s</w:t>
      </w:r>
      <w:r w:rsidRPr="001D5EB5">
        <w:rPr>
          <w:rFonts w:ascii="Bahnschrift SemiLight" w:hAnsi="Bahnschrift SemiLight" w:cs="Arial"/>
          <w:sz w:val="24"/>
          <w:szCs w:val="24"/>
        </w:rPr>
        <w:t xml:space="preserve"> was conducted pursuant to the </w:t>
      </w:r>
      <w:r w:rsidRPr="00156E7C">
        <w:rPr>
          <w:rFonts w:asciiTheme="majorHAnsi" w:hAnsiTheme="majorHAnsi" w:cs="Arial"/>
          <w:i/>
          <w:iCs/>
          <w:sz w:val="24"/>
          <w:szCs w:val="24"/>
        </w:rPr>
        <w:t>Texas Workforce</w:t>
      </w:r>
      <w:r w:rsidRPr="00156E7C">
        <w:rPr>
          <w:rFonts w:asciiTheme="majorHAnsi" w:hAnsiTheme="majorHAnsi" w:cs="Arial"/>
          <w:i/>
          <w:iCs/>
        </w:rPr>
        <w:t xml:space="preserve"> </w:t>
      </w:r>
      <w:r w:rsidRPr="00156E7C">
        <w:rPr>
          <w:rFonts w:asciiTheme="majorHAnsi" w:hAnsiTheme="majorHAnsi" w:cs="Arial"/>
          <w:i/>
          <w:iCs/>
          <w:sz w:val="24"/>
        </w:rPr>
        <w:t>Commission’s Agency Monitoring Activities, rule §802.</w:t>
      </w:r>
      <w:r w:rsidR="001D5EB5" w:rsidRPr="00156E7C">
        <w:rPr>
          <w:rFonts w:asciiTheme="majorHAnsi" w:hAnsiTheme="majorHAnsi" w:cs="Arial"/>
          <w:i/>
          <w:iCs/>
          <w:sz w:val="24"/>
        </w:rPr>
        <w:t>83</w:t>
      </w:r>
      <w:r w:rsidRPr="00156E7C">
        <w:rPr>
          <w:rFonts w:asciiTheme="majorHAnsi" w:hAnsiTheme="majorHAnsi" w:cs="Arial"/>
          <w:i/>
          <w:iCs/>
          <w:sz w:val="24"/>
        </w:rPr>
        <w:t>, Risk Assessment</w:t>
      </w:r>
      <w:r w:rsidR="001D5EB5" w:rsidRPr="00156E7C">
        <w:rPr>
          <w:rFonts w:asciiTheme="majorHAnsi" w:hAnsiTheme="majorHAnsi" w:cs="Arial"/>
          <w:i/>
          <w:iCs/>
          <w:sz w:val="24"/>
        </w:rPr>
        <w:t xml:space="preserve"> </w:t>
      </w:r>
      <w:r w:rsidR="001D5EB5" w:rsidRPr="001D5EB5">
        <w:rPr>
          <w:rFonts w:ascii="Bahnschrift SemiLight" w:hAnsi="Bahnschrift SemiLight" w:cs="Arial"/>
          <w:sz w:val="24"/>
        </w:rPr>
        <w:t>below</w:t>
      </w:r>
      <w:r w:rsidRPr="001D5EB5">
        <w:rPr>
          <w:rFonts w:ascii="Bahnschrift SemiLight" w:hAnsi="Bahnschrift SemiLight" w:cs="Arial"/>
          <w:sz w:val="24"/>
        </w:rPr>
        <w:t>.</w:t>
      </w:r>
    </w:p>
    <w:p w14:paraId="4804BA5F" w14:textId="77777777" w:rsidR="001D5EB5" w:rsidRPr="00D5022B" w:rsidRDefault="001D5EB5" w:rsidP="001D5EB5">
      <w:pPr>
        <w:pStyle w:val="Section3"/>
        <w:rPr>
          <w:rFonts w:ascii="Cambria" w:hAnsi="Cambria" w:cstheme="minorHAnsi"/>
          <w:i/>
          <w:iCs/>
          <w:color w:val="984806" w:themeColor="accent6" w:themeShade="80"/>
        </w:rPr>
      </w:pPr>
      <w:bookmarkStart w:id="2" w:name="_Toc285201352"/>
      <w:r w:rsidRPr="00D5022B">
        <w:rPr>
          <w:rFonts w:ascii="Cambria" w:hAnsi="Cambria" w:cstheme="minorHAnsi"/>
          <w:i/>
          <w:iCs/>
          <w:color w:val="984806" w:themeColor="accent6" w:themeShade="80"/>
        </w:rPr>
        <w:t>§802.83.  Risk Assessment.</w:t>
      </w:r>
      <w:bookmarkEnd w:id="2"/>
    </w:p>
    <w:p w14:paraId="786EAC3E" w14:textId="77777777" w:rsidR="001D5EB5" w:rsidRPr="00D5022B" w:rsidRDefault="001D5EB5" w:rsidP="001D5EB5">
      <w:pPr>
        <w:pStyle w:val="subsection"/>
        <w:rPr>
          <w:rFonts w:ascii="Cambria" w:hAnsi="Cambria" w:cstheme="minorHAnsi"/>
          <w:i/>
          <w:iCs/>
          <w:color w:val="984806" w:themeColor="accent6" w:themeShade="80"/>
        </w:rPr>
      </w:pPr>
      <w:r w:rsidRPr="00D5022B">
        <w:rPr>
          <w:rFonts w:ascii="Cambria" w:hAnsi="Cambria" w:cstheme="minorHAnsi"/>
          <w:i/>
          <w:iCs/>
          <w:color w:val="984806" w:themeColor="accent6" w:themeShade="80"/>
        </w:rPr>
        <w:t xml:space="preserve">(a)  Boards and workforce service providers shall include the use of a risk assessment tool in their monitoring functions. </w:t>
      </w:r>
    </w:p>
    <w:p w14:paraId="48D2CFA4" w14:textId="77777777" w:rsidR="001D5EB5" w:rsidRPr="00D5022B" w:rsidRDefault="001D5EB5" w:rsidP="001D5EB5">
      <w:pPr>
        <w:pStyle w:val="subsection"/>
        <w:rPr>
          <w:rFonts w:ascii="Cambria" w:hAnsi="Cambria" w:cstheme="minorHAnsi"/>
          <w:i/>
          <w:iCs/>
          <w:color w:val="984806" w:themeColor="accent6" w:themeShade="80"/>
        </w:rPr>
      </w:pPr>
      <w:r w:rsidRPr="00D5022B">
        <w:rPr>
          <w:rFonts w:ascii="Cambria" w:hAnsi="Cambria" w:cstheme="minorHAnsi"/>
          <w:i/>
          <w:iCs/>
          <w:color w:val="984806" w:themeColor="accent6" w:themeShade="80"/>
        </w:rPr>
        <w:t xml:space="preserve">(b)  The risk assessment tool shall identify high-risk workforce service providers and high areas of risk within an individual workforce service provider's operation.  The entity responsible for including the risk assessment tool in their monitoring functions shall be responsible for determining what constitutes high risk or an area of high risk. </w:t>
      </w:r>
    </w:p>
    <w:p w14:paraId="5A74B000" w14:textId="77777777" w:rsidR="001D5EB5" w:rsidRPr="00D5022B" w:rsidRDefault="001D5EB5" w:rsidP="001D5EB5">
      <w:pPr>
        <w:pStyle w:val="subsection"/>
        <w:rPr>
          <w:rFonts w:ascii="Cambria" w:hAnsi="Cambria" w:cstheme="minorHAnsi"/>
          <w:i/>
          <w:iCs/>
          <w:color w:val="984806" w:themeColor="accent6" w:themeShade="80"/>
        </w:rPr>
      </w:pPr>
      <w:r w:rsidRPr="00D5022B">
        <w:rPr>
          <w:rFonts w:ascii="Cambria" w:hAnsi="Cambria" w:cstheme="minorHAnsi"/>
          <w:i/>
          <w:iCs/>
          <w:color w:val="984806" w:themeColor="accent6" w:themeShade="80"/>
        </w:rPr>
        <w:t>(c)  Boards and workforce service providers shall establish monitoring schedules and monitoring programs that best use monitoring resources.  Boards and workforce service providers shall quantify, as much as possible, and document areas of risk identified for assessment.</w:t>
      </w:r>
    </w:p>
    <w:p w14:paraId="4990DFA5" w14:textId="77777777" w:rsidR="001D5EB5" w:rsidRPr="00B61598" w:rsidRDefault="001D5EB5" w:rsidP="001D5EB5">
      <w:pPr>
        <w:pStyle w:val="plaini"/>
        <w:rPr>
          <w:rFonts w:ascii="Cambria" w:hAnsi="Cambria" w:cstheme="minorHAnsi"/>
          <w:iCs/>
          <w:color w:val="002060"/>
        </w:rPr>
      </w:pPr>
      <w:r w:rsidRPr="00D5022B">
        <w:rPr>
          <w:rFonts w:ascii="Cambria" w:hAnsi="Cambria" w:cstheme="minorHAnsi"/>
          <w:iCs/>
          <w:color w:val="984806" w:themeColor="accent6" w:themeShade="80"/>
        </w:rPr>
        <w:t>The provisions of this §802.83 adopted to be effective February 7, 2011, as published in the Texas Register, February 4, 2011, 36 Tex</w:t>
      </w:r>
      <w:r w:rsidR="00DB49BE" w:rsidRPr="00D5022B">
        <w:rPr>
          <w:rFonts w:ascii="Cambria" w:hAnsi="Cambria" w:cstheme="minorHAnsi"/>
          <w:iCs/>
          <w:color w:val="984806" w:themeColor="accent6" w:themeShade="80"/>
        </w:rPr>
        <w:t xml:space="preserve">as </w:t>
      </w:r>
      <w:r w:rsidRPr="00D5022B">
        <w:rPr>
          <w:rFonts w:ascii="Cambria" w:hAnsi="Cambria" w:cstheme="minorHAnsi"/>
          <w:iCs/>
          <w:color w:val="984806" w:themeColor="accent6" w:themeShade="80"/>
        </w:rPr>
        <w:t>Reg</w:t>
      </w:r>
      <w:r w:rsidR="00DB49BE" w:rsidRPr="00D5022B">
        <w:rPr>
          <w:rFonts w:ascii="Cambria" w:hAnsi="Cambria" w:cstheme="minorHAnsi"/>
          <w:iCs/>
          <w:color w:val="984806" w:themeColor="accent6" w:themeShade="80"/>
        </w:rPr>
        <w:t>ister</w:t>
      </w:r>
      <w:r w:rsidRPr="00D5022B">
        <w:rPr>
          <w:rFonts w:ascii="Cambria" w:hAnsi="Cambria" w:cstheme="minorHAnsi"/>
          <w:iCs/>
          <w:color w:val="984806" w:themeColor="accent6" w:themeShade="80"/>
        </w:rPr>
        <w:t xml:space="preserve"> 604.</w:t>
      </w:r>
    </w:p>
    <w:p w14:paraId="55E08924" w14:textId="77777777" w:rsidR="001D5EB5" w:rsidRPr="001D5EB5" w:rsidRDefault="001D5EB5" w:rsidP="00B549BB">
      <w:pPr>
        <w:pStyle w:val="NoSpacing"/>
        <w:rPr>
          <w:rFonts w:ascii="Bahnschrift SemiLight" w:hAnsi="Bahnschrift SemiLight" w:cs="Arial"/>
          <w:sz w:val="16"/>
          <w:szCs w:val="16"/>
        </w:rPr>
      </w:pPr>
    </w:p>
    <w:p w14:paraId="21FA1FDE" w14:textId="77777777" w:rsidR="00B549BB" w:rsidRPr="001D5EB5" w:rsidRDefault="00B549BB" w:rsidP="00B549BB">
      <w:pPr>
        <w:pStyle w:val="NoSpacing"/>
        <w:rPr>
          <w:rFonts w:ascii="Bahnschrift SemiLight" w:hAnsi="Bahnschrift SemiLight" w:cs="Arial"/>
          <w:sz w:val="24"/>
        </w:rPr>
      </w:pPr>
      <w:r w:rsidRPr="001D5EB5">
        <w:rPr>
          <w:rFonts w:ascii="Bahnschrift SemiLight" w:hAnsi="Bahnschrift SemiLight" w:cs="Arial"/>
          <w:sz w:val="24"/>
        </w:rPr>
        <w:t>Additionally, the</w:t>
      </w:r>
      <w:r w:rsidRPr="001D5EB5">
        <w:rPr>
          <w:rFonts w:ascii="Bahnschrift SemiLight" w:hAnsi="Bahnschrift SemiLight"/>
          <w:sz w:val="24"/>
        </w:rPr>
        <w:t xml:space="preserve"> </w:t>
      </w:r>
      <w:r w:rsidRPr="00156E7C">
        <w:rPr>
          <w:rFonts w:ascii="Bahnschrift SemiLight" w:hAnsi="Bahnschrift SemiLight"/>
          <w:iCs/>
          <w:sz w:val="24"/>
        </w:rPr>
        <w:t>Texas Workforce Commission (TWC)</w:t>
      </w:r>
      <w:r w:rsidRPr="001D5EB5">
        <w:rPr>
          <w:rFonts w:ascii="Bahnschrift SemiLight" w:hAnsi="Bahnschrift SemiLight"/>
          <w:sz w:val="24"/>
        </w:rPr>
        <w:t xml:space="preserve"> </w:t>
      </w:r>
      <w:r w:rsidRPr="001D5EB5">
        <w:rPr>
          <w:rFonts w:ascii="Bahnschrift SemiLight" w:hAnsi="Bahnschrift SemiLight" w:cs="Arial"/>
          <w:sz w:val="24"/>
        </w:rPr>
        <w:t xml:space="preserve">has promulgated a number of rules that have impacted the conduct of this year’s risk assessment analysis. These rules </w:t>
      </w:r>
      <w:r w:rsidRPr="001D5EB5">
        <w:rPr>
          <w:rFonts w:ascii="Bahnschrift SemiLight" w:hAnsi="Bahnschrift SemiLight" w:cs="Arial"/>
          <w:iCs/>
          <w:sz w:val="24"/>
        </w:rPr>
        <w:t>adopted under the</w:t>
      </w:r>
      <w:r w:rsidRPr="001D5EB5">
        <w:rPr>
          <w:rFonts w:ascii="Bahnschrift SemiLight" w:hAnsi="Bahnschrift SemiLight" w:cs="Arial"/>
          <w:i/>
          <w:sz w:val="24"/>
        </w:rPr>
        <w:t xml:space="preserve"> </w:t>
      </w:r>
      <w:r w:rsidRPr="00156E7C">
        <w:rPr>
          <w:rFonts w:asciiTheme="majorHAnsi" w:hAnsiTheme="majorHAnsi" w:cs="Arial"/>
          <w:i/>
          <w:sz w:val="24"/>
        </w:rPr>
        <w:t>Texas Labor Code</w:t>
      </w:r>
      <w:r w:rsidRPr="001D5EB5">
        <w:rPr>
          <w:rFonts w:ascii="Bahnschrift SemiLight" w:hAnsi="Bahnschrift SemiLight" w:cs="Arial"/>
          <w:i/>
          <w:sz w:val="24"/>
        </w:rPr>
        <w:t xml:space="preserve"> </w:t>
      </w:r>
      <w:r w:rsidRPr="001D5EB5">
        <w:rPr>
          <w:rFonts w:ascii="Bahnschrift SemiLight" w:hAnsi="Bahnschrift SemiLight" w:cs="Arial"/>
          <w:sz w:val="24"/>
        </w:rPr>
        <w:t xml:space="preserve">include the following: </w:t>
      </w:r>
    </w:p>
    <w:p w14:paraId="13A54FCF" w14:textId="77777777" w:rsidR="00B549BB" w:rsidRPr="001D5EB5" w:rsidRDefault="00B549BB" w:rsidP="00B549BB">
      <w:pPr>
        <w:pStyle w:val="NoSpacing"/>
        <w:rPr>
          <w:rFonts w:ascii="Bahnschrift SemiLight" w:hAnsi="Bahnschrift SemiLight" w:cs="Arial"/>
          <w:sz w:val="24"/>
        </w:rPr>
      </w:pPr>
      <w:bookmarkStart w:id="3" w:name="_Toc483989785"/>
      <w:bookmarkStart w:id="4" w:name="_Toc72547984"/>
      <w:r w:rsidRPr="001D5EB5">
        <w:rPr>
          <w:rFonts w:ascii="Bahnschrift SemiLight" w:hAnsi="Bahnschrift SemiLight" w:cs="Arial"/>
          <w:sz w:val="24"/>
        </w:rPr>
        <w:t>§802.20.  Definitions</w:t>
      </w:r>
      <w:bookmarkEnd w:id="3"/>
      <w:bookmarkEnd w:id="4"/>
    </w:p>
    <w:p w14:paraId="47F3689A" w14:textId="77777777" w:rsidR="00B549BB" w:rsidRPr="001D5EB5" w:rsidRDefault="00B549BB" w:rsidP="00B549BB">
      <w:pPr>
        <w:pStyle w:val="NoSpacing"/>
        <w:rPr>
          <w:rFonts w:ascii="Bahnschrift SemiLight" w:hAnsi="Bahnschrift SemiLight" w:cs="Arial"/>
          <w:sz w:val="24"/>
        </w:rPr>
      </w:pPr>
      <w:bookmarkStart w:id="5" w:name="_Toc72547995"/>
      <w:r w:rsidRPr="001D5EB5">
        <w:rPr>
          <w:rFonts w:ascii="Bahnschrift SemiLight" w:hAnsi="Bahnschrift SemiLight" w:cs="Arial"/>
          <w:sz w:val="24"/>
        </w:rPr>
        <w:t>§802.21. Board Contracting Guidelines</w:t>
      </w:r>
      <w:bookmarkEnd w:id="5"/>
    </w:p>
    <w:p w14:paraId="6000C2D2" w14:textId="77777777" w:rsidR="00B549BB" w:rsidRPr="001D5EB5" w:rsidRDefault="00B549BB" w:rsidP="00B549BB">
      <w:pPr>
        <w:pStyle w:val="NoSpacing"/>
        <w:rPr>
          <w:rFonts w:ascii="Bahnschrift SemiLight" w:hAnsi="Bahnschrift SemiLight" w:cs="Arial"/>
          <w:sz w:val="24"/>
        </w:rPr>
      </w:pPr>
      <w:r w:rsidRPr="001D5EB5">
        <w:rPr>
          <w:rFonts w:ascii="Bahnschrift SemiLight" w:hAnsi="Bahnschrift SemiLight" w:cs="Arial"/>
          <w:sz w:val="24"/>
        </w:rPr>
        <w:t xml:space="preserve">   (a) </w:t>
      </w:r>
      <w:r w:rsidRPr="001D5EB5">
        <w:rPr>
          <w:rFonts w:ascii="Bahnschrift SemiLight" w:hAnsi="Bahnschrift SemiLight" w:cs="Arial"/>
          <w:sz w:val="24"/>
          <w:u w:val="single"/>
        </w:rPr>
        <w:t>Fiscal Integrity Provisions</w:t>
      </w:r>
      <w:r w:rsidRPr="001D5EB5">
        <w:rPr>
          <w:rFonts w:ascii="Bahnschrift SemiLight" w:hAnsi="Bahnschrift SemiLight" w:cs="Arial"/>
          <w:sz w:val="24"/>
        </w:rPr>
        <w:t xml:space="preserve">  </w:t>
      </w:r>
    </w:p>
    <w:p w14:paraId="183EDB31" w14:textId="77777777" w:rsidR="00B549BB" w:rsidRPr="001D5EB5" w:rsidRDefault="00B549BB" w:rsidP="00B549BB">
      <w:pPr>
        <w:pStyle w:val="NoSpacing"/>
        <w:rPr>
          <w:rFonts w:ascii="Bahnschrift SemiLight" w:hAnsi="Bahnschrift SemiLight" w:cs="Arial"/>
          <w:sz w:val="24"/>
        </w:rPr>
      </w:pPr>
      <w:r w:rsidRPr="001D5EB5">
        <w:rPr>
          <w:rFonts w:ascii="Bahnschrift SemiLight" w:hAnsi="Bahnschrift SemiLight" w:cs="Arial"/>
          <w:sz w:val="24"/>
        </w:rPr>
        <w:t xml:space="preserve">   (b) </w:t>
      </w:r>
      <w:r w:rsidRPr="001D5EB5">
        <w:rPr>
          <w:rFonts w:ascii="Bahnschrift SemiLight" w:hAnsi="Bahnschrift SemiLight" w:cs="Arial"/>
          <w:sz w:val="24"/>
          <w:u w:val="single"/>
        </w:rPr>
        <w:t>Bonding, Insurance, and Other Methods of Securing Funds to Cover Los</w:t>
      </w:r>
      <w:r w:rsidRPr="001D5EB5">
        <w:rPr>
          <w:rFonts w:ascii="Bahnschrift SemiLight" w:hAnsi="Bahnschrift SemiLight" w:cs="Arial"/>
          <w:sz w:val="24"/>
        </w:rPr>
        <w:t>ses</w:t>
      </w:r>
    </w:p>
    <w:p w14:paraId="3E6BA5AB" w14:textId="77777777" w:rsidR="00B549BB" w:rsidRPr="001D5EB5" w:rsidRDefault="00B549BB" w:rsidP="00B549BB">
      <w:pPr>
        <w:pStyle w:val="NoSpacing"/>
        <w:rPr>
          <w:rFonts w:ascii="Bahnschrift SemiLight" w:hAnsi="Bahnschrift SemiLight" w:cs="Arial"/>
          <w:sz w:val="24"/>
          <w:u w:val="single"/>
        </w:rPr>
      </w:pPr>
      <w:r w:rsidRPr="001D5EB5">
        <w:rPr>
          <w:rFonts w:ascii="Bahnschrift SemiLight" w:hAnsi="Bahnschrift SemiLight" w:cs="Arial"/>
          <w:sz w:val="24"/>
        </w:rPr>
        <w:t xml:space="preserve">   (c) </w:t>
      </w:r>
      <w:r w:rsidRPr="001D5EB5">
        <w:rPr>
          <w:rFonts w:ascii="Bahnschrift SemiLight" w:hAnsi="Bahnschrift SemiLight" w:cs="Arial"/>
          <w:sz w:val="24"/>
          <w:u w:val="single"/>
        </w:rPr>
        <w:t>Standards of Conduct</w:t>
      </w:r>
    </w:p>
    <w:p w14:paraId="42BF53CF" w14:textId="77777777" w:rsidR="00B549BB" w:rsidRPr="001D5EB5" w:rsidRDefault="00B549BB" w:rsidP="00B549BB">
      <w:pPr>
        <w:pStyle w:val="NoSpacing"/>
        <w:rPr>
          <w:rFonts w:ascii="Bahnschrift SemiLight" w:hAnsi="Bahnschrift SemiLight" w:cs="Arial"/>
          <w:sz w:val="24"/>
          <w:u w:val="single"/>
        </w:rPr>
      </w:pPr>
      <w:r w:rsidRPr="001D5EB5">
        <w:rPr>
          <w:rFonts w:ascii="Bahnschrift SemiLight" w:hAnsi="Bahnschrift SemiLight" w:cs="Arial"/>
          <w:sz w:val="24"/>
        </w:rPr>
        <w:t xml:space="preserve">   (d) </w:t>
      </w:r>
      <w:r w:rsidRPr="001D5EB5">
        <w:rPr>
          <w:rFonts w:ascii="Bahnschrift SemiLight" w:hAnsi="Bahnschrift SemiLight" w:cs="Arial"/>
          <w:sz w:val="24"/>
          <w:u w:val="single"/>
        </w:rPr>
        <w:t>Disclosures</w:t>
      </w:r>
    </w:p>
    <w:p w14:paraId="40FEF900" w14:textId="77777777" w:rsidR="00B549BB" w:rsidRPr="001D5EB5" w:rsidRDefault="00B549BB" w:rsidP="00B549BB">
      <w:pPr>
        <w:pStyle w:val="NoSpacing"/>
        <w:rPr>
          <w:rFonts w:ascii="Bahnschrift SemiLight" w:hAnsi="Bahnschrift SemiLight" w:cs="Arial"/>
          <w:sz w:val="24"/>
        </w:rPr>
      </w:pPr>
      <w:bookmarkStart w:id="6" w:name="_Toc72547978"/>
      <w:r w:rsidRPr="001D5EB5">
        <w:rPr>
          <w:rFonts w:ascii="Bahnschrift SemiLight" w:hAnsi="Bahnschrift SemiLight" w:cs="Arial"/>
          <w:sz w:val="24"/>
        </w:rPr>
        <w:t>§802.41.  Board Member Conflicts of Interest</w:t>
      </w:r>
      <w:bookmarkEnd w:id="6"/>
    </w:p>
    <w:p w14:paraId="10A355D0" w14:textId="77777777" w:rsidR="00B549BB" w:rsidRPr="001D5EB5" w:rsidRDefault="00B549BB" w:rsidP="00B549BB">
      <w:pPr>
        <w:pStyle w:val="NoSpacing"/>
        <w:rPr>
          <w:rFonts w:ascii="Bahnschrift SemiLight" w:hAnsi="Bahnschrift SemiLight"/>
          <w:iCs/>
          <w:sz w:val="24"/>
        </w:rPr>
      </w:pPr>
      <w:bookmarkStart w:id="7" w:name="_Toc72547991"/>
      <w:r w:rsidRPr="001D5EB5">
        <w:rPr>
          <w:rFonts w:ascii="Bahnschrift SemiLight" w:hAnsi="Bahnschrift SemiLight"/>
          <w:bCs/>
          <w:sz w:val="24"/>
        </w:rPr>
        <w:t>§802.64. Fiscal Monitoring Activities</w:t>
      </w:r>
    </w:p>
    <w:p w14:paraId="651FB3C0" w14:textId="77777777" w:rsidR="00B549BB" w:rsidRPr="001D5EB5" w:rsidRDefault="00B549BB" w:rsidP="00B549BB">
      <w:pPr>
        <w:pStyle w:val="NoSpacing"/>
        <w:rPr>
          <w:rFonts w:ascii="Bahnschrift SemiLight" w:hAnsi="Bahnschrift SemiLight" w:cs="Arial"/>
          <w:sz w:val="24"/>
        </w:rPr>
      </w:pPr>
      <w:r w:rsidRPr="001D5EB5">
        <w:rPr>
          <w:rFonts w:ascii="Bahnschrift SemiLight" w:hAnsi="Bahnschrift SemiLight"/>
          <w:iCs/>
          <w:sz w:val="24"/>
        </w:rPr>
        <w:t>§802.83. Risk Assessment.</w:t>
      </w:r>
    </w:p>
    <w:bookmarkEnd w:id="7"/>
    <w:p w14:paraId="0C3FA685" w14:textId="6F40A24A" w:rsidR="00B549BB" w:rsidRDefault="00B549BB" w:rsidP="00B549BB">
      <w:pPr>
        <w:pStyle w:val="NoSpacing"/>
        <w:rPr>
          <w:rFonts w:ascii="Bahnschrift SemiLight" w:hAnsi="Bahnschrift SemiLight"/>
          <w:sz w:val="16"/>
          <w:szCs w:val="16"/>
        </w:rPr>
      </w:pPr>
    </w:p>
    <w:p w14:paraId="1D9ED55D" w14:textId="77777777" w:rsidR="007772CD" w:rsidRPr="001D5EB5" w:rsidRDefault="007772CD" w:rsidP="00B549BB">
      <w:pPr>
        <w:pStyle w:val="NoSpacing"/>
        <w:rPr>
          <w:rFonts w:ascii="Bahnschrift SemiLight" w:hAnsi="Bahnschrift SemiLight"/>
          <w:sz w:val="16"/>
          <w:szCs w:val="16"/>
        </w:rPr>
      </w:pPr>
    </w:p>
    <w:p w14:paraId="00E3E0A9" w14:textId="5706EF36" w:rsidR="00B549BB" w:rsidRPr="001D5EB5" w:rsidRDefault="00B549BB" w:rsidP="00B549BB">
      <w:pPr>
        <w:pStyle w:val="NoSpacing"/>
        <w:rPr>
          <w:rFonts w:ascii="Bahnschrift SemiLight" w:hAnsi="Bahnschrift SemiLight"/>
          <w:sz w:val="24"/>
          <w:szCs w:val="24"/>
        </w:rPr>
      </w:pPr>
      <w:r w:rsidRPr="001D5EB5">
        <w:rPr>
          <w:rFonts w:ascii="Bahnschrift SemiLight" w:hAnsi="Bahnschrift SemiLight"/>
          <w:sz w:val="24"/>
          <w:szCs w:val="24"/>
        </w:rPr>
        <w:lastRenderedPageBreak/>
        <w:t xml:space="preserve">Certain applicable aspects of </w:t>
      </w:r>
      <w:r w:rsidR="00156E7C">
        <w:rPr>
          <w:rFonts w:ascii="Bahnschrift SemiLight" w:hAnsi="Bahnschrift SemiLight"/>
          <w:sz w:val="24"/>
          <w:szCs w:val="24"/>
        </w:rPr>
        <w:t xml:space="preserve">a </w:t>
      </w:r>
      <w:r w:rsidRPr="001D5EB5">
        <w:rPr>
          <w:rFonts w:ascii="Bahnschrift SemiLight" w:hAnsi="Bahnschrift SemiLight"/>
          <w:sz w:val="24"/>
          <w:szCs w:val="24"/>
        </w:rPr>
        <w:t xml:space="preserve">TWC </w:t>
      </w:r>
      <w:r w:rsidR="00156E7C">
        <w:rPr>
          <w:rFonts w:ascii="Bahnschrift SemiLight" w:hAnsi="Bahnschrift SemiLight"/>
          <w:sz w:val="24"/>
          <w:szCs w:val="24"/>
        </w:rPr>
        <w:t xml:space="preserve">risk assessment </w:t>
      </w:r>
      <w:r w:rsidRPr="001D5EB5">
        <w:rPr>
          <w:rFonts w:ascii="Bahnschrift SemiLight" w:hAnsi="Bahnschrift SemiLight"/>
          <w:sz w:val="24"/>
          <w:szCs w:val="24"/>
        </w:rPr>
        <w:t>model have been utilized in the conduct of the Boards risk assessment evaluation</w:t>
      </w:r>
      <w:r w:rsidR="00156E7C">
        <w:rPr>
          <w:rFonts w:ascii="Bahnschrift SemiLight" w:hAnsi="Bahnschrift SemiLight"/>
          <w:sz w:val="24"/>
          <w:szCs w:val="24"/>
        </w:rPr>
        <w:t>.</w:t>
      </w:r>
    </w:p>
    <w:p w14:paraId="7C114511" w14:textId="77777777" w:rsidR="00B549BB" w:rsidRPr="001D5EB5" w:rsidRDefault="00B549BB" w:rsidP="00B549BB">
      <w:pPr>
        <w:pStyle w:val="NoSpacing"/>
        <w:rPr>
          <w:rFonts w:ascii="Bahnschrift SemiLight" w:hAnsi="Bahnschrift SemiLight"/>
          <w:sz w:val="24"/>
          <w:szCs w:val="24"/>
        </w:rPr>
      </w:pPr>
      <w:r w:rsidRPr="001D5EB5">
        <w:rPr>
          <w:rFonts w:ascii="Bahnschrift SemiLight" w:hAnsi="Bahnschrift SemiLight"/>
          <w:sz w:val="24"/>
          <w:szCs w:val="24"/>
        </w:rPr>
        <w:t>In consideration of the TWC model the following definitions shall apply</w:t>
      </w:r>
      <w:r w:rsidR="00920631" w:rsidRPr="001D5EB5">
        <w:rPr>
          <w:rFonts w:ascii="Bahnschrift SemiLight" w:hAnsi="Bahnschrift SemiLight"/>
          <w:sz w:val="24"/>
          <w:szCs w:val="24"/>
        </w:rPr>
        <w:t>:</w:t>
      </w:r>
    </w:p>
    <w:p w14:paraId="5B44E979" w14:textId="77777777" w:rsidR="007772CD" w:rsidRPr="007772CD" w:rsidRDefault="007772CD" w:rsidP="00B549BB">
      <w:pPr>
        <w:pStyle w:val="NoSpacing"/>
        <w:rPr>
          <w:rFonts w:ascii="Bahnschrift SemiLight" w:hAnsi="Bahnschrift SemiLight"/>
          <w:b/>
          <w:bCs/>
          <w:sz w:val="16"/>
          <w:szCs w:val="16"/>
          <w:u w:val="single"/>
        </w:rPr>
      </w:pPr>
    </w:p>
    <w:p w14:paraId="62D88642" w14:textId="716C1A96" w:rsidR="00B549BB" w:rsidRPr="00B61598" w:rsidRDefault="00B549BB" w:rsidP="00B549BB">
      <w:pPr>
        <w:pStyle w:val="NoSpacing"/>
        <w:rPr>
          <w:rFonts w:ascii="Cambria" w:hAnsi="Cambria"/>
          <w:b/>
          <w:bCs/>
          <w:sz w:val="24"/>
          <w:szCs w:val="24"/>
          <w:u w:val="single"/>
        </w:rPr>
      </w:pPr>
      <w:r w:rsidRPr="00B61598">
        <w:rPr>
          <w:rFonts w:ascii="Cambria" w:hAnsi="Cambria"/>
          <w:b/>
          <w:bCs/>
          <w:sz w:val="24"/>
          <w:szCs w:val="24"/>
          <w:u w:val="single"/>
        </w:rPr>
        <w:t>Risk Category</w:t>
      </w:r>
    </w:p>
    <w:p w14:paraId="27A372A3" w14:textId="77777777" w:rsidR="00B549BB" w:rsidRPr="001D5EB5" w:rsidRDefault="00B549BB" w:rsidP="00B549BB">
      <w:pPr>
        <w:pStyle w:val="NoSpacing"/>
        <w:rPr>
          <w:rFonts w:ascii="Bahnschrift SemiLight" w:hAnsi="Bahnschrift SemiLight"/>
          <w:sz w:val="24"/>
          <w:szCs w:val="24"/>
        </w:rPr>
      </w:pPr>
      <w:r w:rsidRPr="001D5EB5">
        <w:rPr>
          <w:rFonts w:ascii="Bahnschrift SemiLight" w:hAnsi="Bahnschrift SemiLight"/>
          <w:sz w:val="24"/>
          <w:szCs w:val="24"/>
        </w:rPr>
        <w:t>The Risk Category provides the topical area for which the risk is being measured. The risk category evaluates a number of directly and indirectly relevant and related category items.</w:t>
      </w:r>
    </w:p>
    <w:p w14:paraId="447196D4" w14:textId="77777777" w:rsidR="00B549BB" w:rsidRPr="001D5EB5" w:rsidRDefault="00B549BB" w:rsidP="00B549BB">
      <w:pPr>
        <w:pStyle w:val="NoSpacing"/>
        <w:rPr>
          <w:rFonts w:ascii="Bahnschrift SemiLight" w:hAnsi="Bahnschrift SemiLight"/>
          <w:sz w:val="16"/>
          <w:szCs w:val="16"/>
        </w:rPr>
      </w:pPr>
    </w:p>
    <w:p w14:paraId="54B42505" w14:textId="77777777" w:rsidR="00B549BB" w:rsidRPr="00B61598" w:rsidRDefault="00B549BB" w:rsidP="00B549BB">
      <w:pPr>
        <w:pStyle w:val="NoSpacing"/>
        <w:rPr>
          <w:rFonts w:ascii="Cambria" w:hAnsi="Cambria"/>
          <w:b/>
          <w:bCs/>
          <w:sz w:val="24"/>
          <w:szCs w:val="24"/>
          <w:u w:val="single"/>
        </w:rPr>
      </w:pPr>
      <w:r w:rsidRPr="00B61598">
        <w:rPr>
          <w:rFonts w:ascii="Cambria" w:hAnsi="Cambria"/>
          <w:b/>
          <w:bCs/>
          <w:sz w:val="24"/>
          <w:szCs w:val="24"/>
          <w:u w:val="single"/>
        </w:rPr>
        <w:t>Maximum Risk Score for Category</w:t>
      </w:r>
    </w:p>
    <w:p w14:paraId="1DFD2123" w14:textId="77777777" w:rsidR="00B549BB" w:rsidRPr="001D5EB5" w:rsidRDefault="00B549BB" w:rsidP="00B549BB">
      <w:pPr>
        <w:pStyle w:val="NoSpacing"/>
        <w:rPr>
          <w:rFonts w:ascii="Bahnschrift SemiLight" w:hAnsi="Bahnschrift SemiLight"/>
          <w:sz w:val="24"/>
          <w:szCs w:val="24"/>
        </w:rPr>
      </w:pPr>
      <w:r w:rsidRPr="001D5EB5">
        <w:rPr>
          <w:rFonts w:ascii="Bahnschrift SemiLight" w:hAnsi="Bahnschrift SemiLight"/>
          <w:sz w:val="24"/>
          <w:szCs w:val="24"/>
        </w:rPr>
        <w:t xml:space="preserve">The Maximum Risk Score Identifies the highest possible risk scores for the reflected category.  </w:t>
      </w:r>
    </w:p>
    <w:p w14:paraId="12ECF9E9" w14:textId="77777777" w:rsidR="00B549BB" w:rsidRPr="001D5EB5" w:rsidRDefault="00B549BB" w:rsidP="00B549BB">
      <w:pPr>
        <w:pStyle w:val="NoSpacing"/>
        <w:rPr>
          <w:rFonts w:ascii="Bahnschrift SemiLight" w:hAnsi="Bahnschrift SemiLight"/>
          <w:sz w:val="16"/>
          <w:szCs w:val="16"/>
        </w:rPr>
      </w:pPr>
    </w:p>
    <w:p w14:paraId="283C09FB" w14:textId="77777777" w:rsidR="00B549BB" w:rsidRPr="00B61598" w:rsidRDefault="00B549BB" w:rsidP="00B549BB">
      <w:pPr>
        <w:pStyle w:val="NoSpacing"/>
        <w:rPr>
          <w:rFonts w:ascii="Cambria" w:hAnsi="Cambria"/>
          <w:b/>
          <w:bCs/>
          <w:sz w:val="24"/>
          <w:szCs w:val="24"/>
          <w:u w:val="single"/>
        </w:rPr>
      </w:pPr>
      <w:r w:rsidRPr="00B61598">
        <w:rPr>
          <w:rFonts w:ascii="Cambria" w:hAnsi="Cambria"/>
          <w:b/>
          <w:bCs/>
          <w:sz w:val="24"/>
          <w:szCs w:val="24"/>
          <w:u w:val="single"/>
        </w:rPr>
        <w:t xml:space="preserve">Entity Category Score </w:t>
      </w:r>
    </w:p>
    <w:p w14:paraId="2257ADB7" w14:textId="77777777" w:rsidR="00B549BB" w:rsidRPr="001D5EB5" w:rsidRDefault="00B549BB" w:rsidP="00B549BB">
      <w:pPr>
        <w:pStyle w:val="NoSpacing"/>
        <w:rPr>
          <w:rFonts w:ascii="Bahnschrift SemiLight" w:hAnsi="Bahnschrift SemiLight"/>
          <w:sz w:val="24"/>
          <w:szCs w:val="24"/>
        </w:rPr>
      </w:pPr>
      <w:r w:rsidRPr="001D5EB5">
        <w:rPr>
          <w:rFonts w:ascii="Bahnschrift SemiLight" w:hAnsi="Bahnschrift SemiLight"/>
          <w:sz w:val="24"/>
          <w:szCs w:val="24"/>
        </w:rPr>
        <w:t xml:space="preserve">The number depicted for each risk category represents the subjective score determination of the entity being reviewed. This score measures the risk possibility of potential issues within the topical area and is used to determine the financial monitoring review scope. </w:t>
      </w:r>
    </w:p>
    <w:p w14:paraId="18AFFC8E" w14:textId="77777777" w:rsidR="00B549BB" w:rsidRPr="001D5EB5" w:rsidRDefault="00B549BB" w:rsidP="00B549BB">
      <w:pPr>
        <w:pStyle w:val="NoSpacing"/>
        <w:rPr>
          <w:rFonts w:ascii="Bahnschrift SemiLight" w:hAnsi="Bahnschrift SemiLight"/>
          <w:sz w:val="16"/>
          <w:szCs w:val="16"/>
        </w:rPr>
      </w:pPr>
    </w:p>
    <w:p w14:paraId="32789A78" w14:textId="77777777" w:rsidR="00B549BB" w:rsidRPr="00B61598" w:rsidRDefault="00B549BB" w:rsidP="00B549BB">
      <w:pPr>
        <w:pStyle w:val="NoSpacing"/>
        <w:rPr>
          <w:rFonts w:ascii="Cambria" w:hAnsi="Cambria"/>
          <w:b/>
          <w:bCs/>
          <w:sz w:val="24"/>
          <w:szCs w:val="24"/>
          <w:u w:val="single"/>
        </w:rPr>
      </w:pPr>
      <w:r w:rsidRPr="00B61598">
        <w:rPr>
          <w:rFonts w:ascii="Cambria" w:hAnsi="Cambria"/>
          <w:b/>
          <w:bCs/>
          <w:sz w:val="24"/>
          <w:szCs w:val="24"/>
          <w:u w:val="single"/>
        </w:rPr>
        <w:t>Risk Rank for Category</w:t>
      </w:r>
    </w:p>
    <w:p w14:paraId="57CAC0FD" w14:textId="77777777" w:rsidR="00B549BB" w:rsidRPr="001D5EB5" w:rsidRDefault="00B549BB" w:rsidP="00B549BB">
      <w:pPr>
        <w:pStyle w:val="BodyText"/>
        <w:rPr>
          <w:rFonts w:ascii="Bahnschrift SemiLight" w:hAnsi="Bahnschrift SemiLight" w:cs="Arial"/>
          <w:b w:val="0"/>
          <w:sz w:val="24"/>
        </w:rPr>
      </w:pPr>
      <w:r w:rsidRPr="001D5EB5">
        <w:rPr>
          <w:rFonts w:ascii="Bahnschrift SemiLight" w:hAnsi="Bahnschrift SemiLight" w:cs="Arial"/>
          <w:b w:val="0"/>
          <w:sz w:val="24"/>
        </w:rPr>
        <w:t>The risk ranking categories are alpha designated and color coded.  In addition to the color-coded risk rankings, the Board also assigns numeric score ranges for each of the risk categories.  The contractor in the risk assessment population was evaluated with the final categorical risk designation depicted with a color-coded alpha designation and a numeric score using the parameters reflected in the diagram.  The cumulative scores utilized to determine the contractor’s overall score in the conduct of this risk assessment evaluation, are reflected in the diagram below.</w:t>
      </w:r>
    </w:p>
    <w:p w14:paraId="739E7C05" w14:textId="424D7414" w:rsidR="004F2A2C" w:rsidRPr="007772CD" w:rsidRDefault="004F2A2C" w:rsidP="00BC3D6D">
      <w:pPr>
        <w:pStyle w:val="BodyText"/>
        <w:ind w:left="1440"/>
        <w:jc w:val="center"/>
        <w:rPr>
          <w:rFonts w:ascii="Bahnschrift" w:hAnsi="Bahnschrift"/>
          <w:b w:val="0"/>
          <w:sz w:val="16"/>
          <w:szCs w:val="16"/>
          <w:u w:val="single"/>
        </w:rPr>
      </w:pPr>
    </w:p>
    <w:tbl>
      <w:tblPr>
        <w:tblW w:w="4240" w:type="dxa"/>
        <w:tblInd w:w="1440" w:type="dxa"/>
        <w:tblLook w:val="04A0" w:firstRow="1" w:lastRow="0" w:firstColumn="1" w:lastColumn="0" w:noHBand="0" w:noVBand="1"/>
      </w:tblPr>
      <w:tblGrid>
        <w:gridCol w:w="1680"/>
        <w:gridCol w:w="1340"/>
        <w:gridCol w:w="1220"/>
      </w:tblGrid>
      <w:tr w:rsidR="00BC3D6D" w:rsidRPr="00BC3D6D" w14:paraId="0A0B411B" w14:textId="77777777" w:rsidTr="00BC3D6D">
        <w:trPr>
          <w:trHeight w:val="288"/>
        </w:trPr>
        <w:tc>
          <w:tcPr>
            <w:tcW w:w="1680" w:type="dxa"/>
            <w:tcBorders>
              <w:top w:val="single" w:sz="8" w:space="0" w:color="auto"/>
              <w:left w:val="single" w:sz="8" w:space="0" w:color="auto"/>
              <w:bottom w:val="single" w:sz="8" w:space="0" w:color="auto"/>
              <w:right w:val="nil"/>
            </w:tcBorders>
            <w:shd w:val="clear" w:color="auto" w:fill="auto"/>
            <w:vAlign w:val="bottom"/>
            <w:hideMark/>
          </w:tcPr>
          <w:p w14:paraId="28B23513" w14:textId="75D204E8" w:rsidR="00BC3D6D" w:rsidRPr="00BC3D6D" w:rsidRDefault="00BC3D6D" w:rsidP="00BC3D6D">
            <w:pPr>
              <w:jc w:val="center"/>
              <w:rPr>
                <w:rFonts w:ascii="Cambria" w:hAnsi="Cambria" w:cs="Calibri"/>
                <w:b/>
                <w:bCs/>
                <w:color w:val="000000"/>
                <w:sz w:val="22"/>
                <w:szCs w:val="22"/>
              </w:rPr>
            </w:pPr>
            <w:r w:rsidRPr="00BC3D6D">
              <w:rPr>
                <w:rFonts w:ascii="Cambria" w:hAnsi="Cambria" w:cs="Calibri"/>
                <w:b/>
                <w:bCs/>
                <w:color w:val="000000"/>
                <w:sz w:val="22"/>
                <w:szCs w:val="22"/>
              </w:rPr>
              <w:t>Max Score</w:t>
            </w:r>
          </w:p>
        </w:tc>
        <w:tc>
          <w:tcPr>
            <w:tcW w:w="1340" w:type="dxa"/>
            <w:tcBorders>
              <w:top w:val="single" w:sz="8" w:space="0" w:color="auto"/>
              <w:left w:val="single" w:sz="8" w:space="0" w:color="auto"/>
              <w:bottom w:val="single" w:sz="8" w:space="0" w:color="auto"/>
              <w:right w:val="nil"/>
            </w:tcBorders>
            <w:shd w:val="clear" w:color="auto" w:fill="auto"/>
            <w:noWrap/>
            <w:vAlign w:val="bottom"/>
            <w:hideMark/>
          </w:tcPr>
          <w:p w14:paraId="57AAD9AA" w14:textId="1C5C8AF4" w:rsidR="00BC3D6D" w:rsidRPr="00BC3D6D" w:rsidRDefault="00BC3D6D" w:rsidP="00BC3D6D">
            <w:pPr>
              <w:jc w:val="center"/>
              <w:rPr>
                <w:rFonts w:ascii="Cambria" w:hAnsi="Cambria" w:cs="Calibri"/>
                <w:b/>
                <w:bCs/>
                <w:color w:val="000000"/>
                <w:sz w:val="22"/>
                <w:szCs w:val="22"/>
              </w:rPr>
            </w:pPr>
            <w:r w:rsidRPr="00BC3D6D">
              <w:rPr>
                <w:rFonts w:ascii="Cambria" w:hAnsi="Cambria" w:cs="Calibri"/>
                <w:b/>
                <w:bCs/>
                <w:color w:val="000000"/>
                <w:sz w:val="22"/>
                <w:szCs w:val="22"/>
              </w:rPr>
              <w:t>3,741.00</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14:paraId="506D3EB3" w14:textId="254B7062" w:rsidR="00BC3D6D" w:rsidRPr="00BC3D6D" w:rsidRDefault="00BC3D6D" w:rsidP="00BC3D6D">
            <w:pPr>
              <w:jc w:val="center"/>
              <w:rPr>
                <w:rFonts w:ascii="Cambria" w:hAnsi="Cambria" w:cs="Calibri"/>
                <w:b/>
                <w:bCs/>
                <w:color w:val="000000"/>
                <w:sz w:val="22"/>
                <w:szCs w:val="22"/>
              </w:rPr>
            </w:pPr>
          </w:p>
        </w:tc>
      </w:tr>
      <w:tr w:rsidR="00BC3D6D" w:rsidRPr="00BC3D6D" w14:paraId="5B12DFEB" w14:textId="77777777" w:rsidTr="00BC3D6D">
        <w:trPr>
          <w:trHeight w:val="276"/>
        </w:trPr>
        <w:tc>
          <w:tcPr>
            <w:tcW w:w="1680"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6CCD67BF" w14:textId="127C8B74" w:rsidR="00BC3D6D" w:rsidRPr="00BC3D6D" w:rsidRDefault="00BC3D6D" w:rsidP="00BC3D6D">
            <w:pPr>
              <w:jc w:val="center"/>
              <w:rPr>
                <w:rFonts w:ascii="Cambria" w:hAnsi="Cambria" w:cs="Calibri"/>
                <w:b/>
                <w:bCs/>
                <w:color w:val="1F497D"/>
                <w:sz w:val="22"/>
                <w:szCs w:val="22"/>
              </w:rPr>
            </w:pPr>
            <w:r w:rsidRPr="00BC3D6D">
              <w:rPr>
                <w:rFonts w:ascii="Cambria" w:hAnsi="Cambria" w:cs="Calibri"/>
                <w:b/>
                <w:bCs/>
                <w:color w:val="1F497D"/>
                <w:sz w:val="22"/>
                <w:szCs w:val="22"/>
              </w:rPr>
              <w:t>RANGE</w:t>
            </w:r>
          </w:p>
        </w:tc>
        <w:tc>
          <w:tcPr>
            <w:tcW w:w="1340" w:type="dxa"/>
            <w:tcBorders>
              <w:top w:val="single" w:sz="4" w:space="0" w:color="auto"/>
              <w:left w:val="nil"/>
              <w:bottom w:val="single" w:sz="4" w:space="0" w:color="auto"/>
              <w:right w:val="single" w:sz="4" w:space="0" w:color="auto"/>
            </w:tcBorders>
            <w:shd w:val="clear" w:color="000000" w:fill="F2F2F2"/>
            <w:noWrap/>
            <w:vAlign w:val="bottom"/>
            <w:hideMark/>
          </w:tcPr>
          <w:p w14:paraId="1F11FA68" w14:textId="17CC00BF" w:rsidR="00BC3D6D" w:rsidRPr="00BC3D6D" w:rsidRDefault="00BC3D6D" w:rsidP="00BC3D6D">
            <w:pPr>
              <w:jc w:val="center"/>
              <w:rPr>
                <w:rFonts w:ascii="Cambria" w:hAnsi="Cambria" w:cs="Calibri"/>
                <w:b/>
                <w:bCs/>
                <w:color w:val="1F497D"/>
                <w:sz w:val="22"/>
                <w:szCs w:val="22"/>
              </w:rPr>
            </w:pPr>
            <w:r w:rsidRPr="00BC3D6D">
              <w:rPr>
                <w:rFonts w:ascii="Cambria" w:hAnsi="Cambria" w:cs="Calibri"/>
                <w:b/>
                <w:bCs/>
                <w:color w:val="1F497D"/>
                <w:sz w:val="22"/>
                <w:szCs w:val="22"/>
              </w:rPr>
              <w:t>LOW</w:t>
            </w:r>
          </w:p>
        </w:tc>
        <w:tc>
          <w:tcPr>
            <w:tcW w:w="1220" w:type="dxa"/>
            <w:tcBorders>
              <w:top w:val="single" w:sz="4" w:space="0" w:color="auto"/>
              <w:left w:val="nil"/>
              <w:bottom w:val="single" w:sz="4" w:space="0" w:color="auto"/>
              <w:right w:val="single" w:sz="8" w:space="0" w:color="auto"/>
            </w:tcBorders>
            <w:shd w:val="clear" w:color="000000" w:fill="F2F2F2"/>
            <w:noWrap/>
            <w:vAlign w:val="bottom"/>
            <w:hideMark/>
          </w:tcPr>
          <w:p w14:paraId="0FC0308A" w14:textId="66D93655" w:rsidR="00BC3D6D" w:rsidRPr="00BC3D6D" w:rsidRDefault="00BC3D6D" w:rsidP="00BC3D6D">
            <w:pPr>
              <w:jc w:val="center"/>
              <w:rPr>
                <w:rFonts w:ascii="Cambria" w:hAnsi="Cambria" w:cs="Calibri"/>
                <w:b/>
                <w:bCs/>
                <w:color w:val="1F497D"/>
                <w:sz w:val="22"/>
                <w:szCs w:val="22"/>
              </w:rPr>
            </w:pPr>
            <w:r w:rsidRPr="00BC3D6D">
              <w:rPr>
                <w:rFonts w:ascii="Cambria" w:hAnsi="Cambria" w:cs="Calibri"/>
                <w:b/>
                <w:bCs/>
                <w:color w:val="1F497D"/>
                <w:sz w:val="22"/>
                <w:szCs w:val="22"/>
              </w:rPr>
              <w:t>HIGH</w:t>
            </w:r>
          </w:p>
        </w:tc>
      </w:tr>
      <w:tr w:rsidR="00BC3D6D" w:rsidRPr="00BC3D6D" w14:paraId="2087E29D"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FF0000"/>
            <w:noWrap/>
            <w:vAlign w:val="bottom"/>
            <w:hideMark/>
          </w:tcPr>
          <w:p w14:paraId="7E2526A4" w14:textId="2CC44798" w:rsidR="00BC3D6D" w:rsidRPr="00BC3D6D" w:rsidRDefault="00BC3D6D" w:rsidP="00BC3D6D">
            <w:pPr>
              <w:jc w:val="center"/>
              <w:rPr>
                <w:rFonts w:ascii="Cambria" w:hAnsi="Cambria" w:cs="Calibri"/>
                <w:b/>
                <w:bCs/>
                <w:color w:val="EEECE1"/>
                <w:sz w:val="22"/>
                <w:szCs w:val="22"/>
              </w:rPr>
            </w:pPr>
            <w:r w:rsidRPr="00BC3D6D">
              <w:rPr>
                <w:rFonts w:ascii="Cambria" w:hAnsi="Cambria" w:cs="Calibri"/>
                <w:b/>
                <w:bCs/>
                <w:color w:val="EEECE1"/>
                <w:sz w:val="22"/>
                <w:szCs w:val="22"/>
              </w:rPr>
              <w:t>HIGH</w:t>
            </w:r>
          </w:p>
        </w:tc>
        <w:tc>
          <w:tcPr>
            <w:tcW w:w="1340" w:type="dxa"/>
            <w:tcBorders>
              <w:top w:val="nil"/>
              <w:left w:val="nil"/>
              <w:bottom w:val="single" w:sz="4" w:space="0" w:color="auto"/>
              <w:right w:val="single" w:sz="4" w:space="0" w:color="auto"/>
            </w:tcBorders>
            <w:shd w:val="clear" w:color="auto" w:fill="auto"/>
            <w:noWrap/>
            <w:vAlign w:val="bottom"/>
            <w:hideMark/>
          </w:tcPr>
          <w:p w14:paraId="72484D79" w14:textId="48C948FB"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3,325.33</w:t>
            </w:r>
          </w:p>
        </w:tc>
        <w:tc>
          <w:tcPr>
            <w:tcW w:w="1220" w:type="dxa"/>
            <w:tcBorders>
              <w:top w:val="nil"/>
              <w:left w:val="nil"/>
              <w:bottom w:val="single" w:sz="4" w:space="0" w:color="auto"/>
              <w:right w:val="single" w:sz="8" w:space="0" w:color="auto"/>
            </w:tcBorders>
            <w:shd w:val="clear" w:color="auto" w:fill="auto"/>
            <w:noWrap/>
            <w:vAlign w:val="bottom"/>
            <w:hideMark/>
          </w:tcPr>
          <w:p w14:paraId="5AD10A60" w14:textId="756921D8"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3,741.00</w:t>
            </w:r>
          </w:p>
        </w:tc>
      </w:tr>
      <w:tr w:rsidR="00BC3D6D" w:rsidRPr="00BC3D6D" w14:paraId="0CE8824B"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FF0000"/>
            <w:noWrap/>
            <w:vAlign w:val="bottom"/>
            <w:hideMark/>
          </w:tcPr>
          <w:p w14:paraId="180D5D6E" w14:textId="1F8C891E" w:rsidR="00BC3D6D" w:rsidRPr="00BC3D6D" w:rsidRDefault="00BC3D6D" w:rsidP="00BC3D6D">
            <w:pPr>
              <w:jc w:val="center"/>
              <w:rPr>
                <w:rFonts w:ascii="Cambria" w:hAnsi="Cambria" w:cs="Calibri"/>
                <w:b/>
                <w:bCs/>
                <w:color w:val="EEECE1"/>
                <w:sz w:val="22"/>
                <w:szCs w:val="22"/>
              </w:rPr>
            </w:pPr>
            <w:r w:rsidRPr="00BC3D6D">
              <w:rPr>
                <w:rFonts w:ascii="Cambria" w:hAnsi="Cambria" w:cs="Calibri"/>
                <w:b/>
                <w:bCs/>
                <w:color w:val="EEECE1"/>
                <w:sz w:val="22"/>
                <w:szCs w:val="22"/>
              </w:rPr>
              <w:t>HM</w:t>
            </w:r>
          </w:p>
        </w:tc>
        <w:tc>
          <w:tcPr>
            <w:tcW w:w="1340" w:type="dxa"/>
            <w:tcBorders>
              <w:top w:val="nil"/>
              <w:left w:val="nil"/>
              <w:bottom w:val="single" w:sz="4" w:space="0" w:color="auto"/>
              <w:right w:val="single" w:sz="4" w:space="0" w:color="auto"/>
            </w:tcBorders>
            <w:shd w:val="clear" w:color="auto" w:fill="auto"/>
            <w:noWrap/>
            <w:vAlign w:val="bottom"/>
            <w:hideMark/>
          </w:tcPr>
          <w:p w14:paraId="53C607DF" w14:textId="3D11BABA"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2,909.67</w:t>
            </w:r>
          </w:p>
        </w:tc>
        <w:tc>
          <w:tcPr>
            <w:tcW w:w="1220" w:type="dxa"/>
            <w:tcBorders>
              <w:top w:val="nil"/>
              <w:left w:val="nil"/>
              <w:bottom w:val="single" w:sz="4" w:space="0" w:color="auto"/>
              <w:right w:val="single" w:sz="8" w:space="0" w:color="auto"/>
            </w:tcBorders>
            <w:shd w:val="clear" w:color="auto" w:fill="auto"/>
            <w:noWrap/>
            <w:vAlign w:val="bottom"/>
            <w:hideMark/>
          </w:tcPr>
          <w:p w14:paraId="6F28D7B7" w14:textId="51DA60FE"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3,325.33</w:t>
            </w:r>
          </w:p>
        </w:tc>
      </w:tr>
      <w:tr w:rsidR="00BC3D6D" w:rsidRPr="00BC3D6D" w14:paraId="14323B35"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FFFF00"/>
            <w:noWrap/>
            <w:vAlign w:val="bottom"/>
            <w:hideMark/>
          </w:tcPr>
          <w:p w14:paraId="4EDB1FA2" w14:textId="27319CC3" w:rsidR="00BC3D6D" w:rsidRPr="00BC3D6D" w:rsidRDefault="00BC3D6D" w:rsidP="00BC3D6D">
            <w:pPr>
              <w:jc w:val="center"/>
              <w:rPr>
                <w:rFonts w:ascii="Cambria" w:hAnsi="Cambria" w:cs="Calibri"/>
                <w:b/>
                <w:bCs/>
                <w:sz w:val="22"/>
                <w:szCs w:val="22"/>
              </w:rPr>
            </w:pPr>
            <w:r w:rsidRPr="00BC3D6D">
              <w:rPr>
                <w:rFonts w:ascii="Cambria" w:hAnsi="Cambria" w:cs="Calibri"/>
                <w:b/>
                <w:bCs/>
                <w:sz w:val="22"/>
                <w:szCs w:val="22"/>
              </w:rPr>
              <w:t>HL</w:t>
            </w:r>
          </w:p>
        </w:tc>
        <w:tc>
          <w:tcPr>
            <w:tcW w:w="1340" w:type="dxa"/>
            <w:tcBorders>
              <w:top w:val="nil"/>
              <w:left w:val="nil"/>
              <w:bottom w:val="single" w:sz="4" w:space="0" w:color="auto"/>
              <w:right w:val="single" w:sz="4" w:space="0" w:color="auto"/>
            </w:tcBorders>
            <w:shd w:val="clear" w:color="auto" w:fill="auto"/>
            <w:noWrap/>
            <w:vAlign w:val="bottom"/>
            <w:hideMark/>
          </w:tcPr>
          <w:p w14:paraId="47596005" w14:textId="00B9BC37"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2,494.00</w:t>
            </w:r>
          </w:p>
        </w:tc>
        <w:tc>
          <w:tcPr>
            <w:tcW w:w="1220" w:type="dxa"/>
            <w:tcBorders>
              <w:top w:val="nil"/>
              <w:left w:val="nil"/>
              <w:bottom w:val="single" w:sz="4" w:space="0" w:color="auto"/>
              <w:right w:val="single" w:sz="8" w:space="0" w:color="auto"/>
            </w:tcBorders>
            <w:shd w:val="clear" w:color="auto" w:fill="auto"/>
            <w:noWrap/>
            <w:vAlign w:val="bottom"/>
            <w:hideMark/>
          </w:tcPr>
          <w:p w14:paraId="4AC5754F" w14:textId="0553E9D5"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2,909.67</w:t>
            </w:r>
          </w:p>
        </w:tc>
      </w:tr>
      <w:tr w:rsidR="00BC3D6D" w:rsidRPr="00BC3D6D" w14:paraId="0C89CD0A"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FFFF00"/>
            <w:noWrap/>
            <w:vAlign w:val="bottom"/>
            <w:hideMark/>
          </w:tcPr>
          <w:p w14:paraId="66161C1F" w14:textId="1416EAB7" w:rsidR="00BC3D6D" w:rsidRPr="00BC3D6D" w:rsidRDefault="00BC3D6D" w:rsidP="00BC3D6D">
            <w:pPr>
              <w:jc w:val="center"/>
              <w:rPr>
                <w:rFonts w:ascii="Cambria" w:hAnsi="Cambria" w:cs="Calibri"/>
                <w:b/>
                <w:bCs/>
                <w:color w:val="000000"/>
                <w:sz w:val="22"/>
                <w:szCs w:val="22"/>
              </w:rPr>
            </w:pPr>
            <w:r w:rsidRPr="00BC3D6D">
              <w:rPr>
                <w:rFonts w:ascii="Cambria" w:hAnsi="Cambria" w:cs="Calibri"/>
                <w:b/>
                <w:bCs/>
                <w:color w:val="000000"/>
                <w:sz w:val="22"/>
                <w:szCs w:val="22"/>
              </w:rPr>
              <w:t>MH</w:t>
            </w:r>
          </w:p>
        </w:tc>
        <w:tc>
          <w:tcPr>
            <w:tcW w:w="1340" w:type="dxa"/>
            <w:tcBorders>
              <w:top w:val="nil"/>
              <w:left w:val="nil"/>
              <w:bottom w:val="single" w:sz="4" w:space="0" w:color="auto"/>
              <w:right w:val="single" w:sz="4" w:space="0" w:color="auto"/>
            </w:tcBorders>
            <w:shd w:val="clear" w:color="auto" w:fill="auto"/>
            <w:noWrap/>
            <w:vAlign w:val="bottom"/>
            <w:hideMark/>
          </w:tcPr>
          <w:p w14:paraId="7941B01E" w14:textId="34B3FEF4"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2,078.33</w:t>
            </w:r>
          </w:p>
        </w:tc>
        <w:tc>
          <w:tcPr>
            <w:tcW w:w="1220" w:type="dxa"/>
            <w:tcBorders>
              <w:top w:val="nil"/>
              <w:left w:val="nil"/>
              <w:bottom w:val="single" w:sz="4" w:space="0" w:color="auto"/>
              <w:right w:val="single" w:sz="8" w:space="0" w:color="auto"/>
            </w:tcBorders>
            <w:shd w:val="clear" w:color="auto" w:fill="auto"/>
            <w:noWrap/>
            <w:vAlign w:val="bottom"/>
            <w:hideMark/>
          </w:tcPr>
          <w:p w14:paraId="680E6D73" w14:textId="143797EF"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2,494.00</w:t>
            </w:r>
          </w:p>
        </w:tc>
      </w:tr>
      <w:tr w:rsidR="00BC3D6D" w:rsidRPr="00BC3D6D" w14:paraId="37D2FF81"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FFFF00"/>
            <w:noWrap/>
            <w:vAlign w:val="bottom"/>
            <w:hideMark/>
          </w:tcPr>
          <w:p w14:paraId="1D8BC091" w14:textId="41A1E7F5" w:rsidR="00BC3D6D" w:rsidRPr="00BC3D6D" w:rsidRDefault="00BC3D6D" w:rsidP="00BC3D6D">
            <w:pPr>
              <w:jc w:val="center"/>
              <w:rPr>
                <w:rFonts w:ascii="Cambria" w:hAnsi="Cambria" w:cs="Calibri"/>
                <w:b/>
                <w:bCs/>
                <w:color w:val="000000"/>
                <w:sz w:val="22"/>
                <w:szCs w:val="22"/>
              </w:rPr>
            </w:pPr>
            <w:r w:rsidRPr="00BC3D6D">
              <w:rPr>
                <w:rFonts w:ascii="Cambria" w:hAnsi="Cambria" w:cs="Calibri"/>
                <w:b/>
                <w:bCs/>
                <w:color w:val="000000"/>
                <w:sz w:val="22"/>
                <w:szCs w:val="22"/>
              </w:rPr>
              <w:t>MM</w:t>
            </w:r>
          </w:p>
        </w:tc>
        <w:tc>
          <w:tcPr>
            <w:tcW w:w="1340" w:type="dxa"/>
            <w:tcBorders>
              <w:top w:val="nil"/>
              <w:left w:val="nil"/>
              <w:bottom w:val="single" w:sz="4" w:space="0" w:color="auto"/>
              <w:right w:val="single" w:sz="4" w:space="0" w:color="auto"/>
            </w:tcBorders>
            <w:shd w:val="clear" w:color="auto" w:fill="auto"/>
            <w:noWrap/>
            <w:vAlign w:val="bottom"/>
            <w:hideMark/>
          </w:tcPr>
          <w:p w14:paraId="15673C8A" w14:textId="3E9FB181"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1,662.67</w:t>
            </w:r>
          </w:p>
        </w:tc>
        <w:tc>
          <w:tcPr>
            <w:tcW w:w="1220" w:type="dxa"/>
            <w:tcBorders>
              <w:top w:val="nil"/>
              <w:left w:val="nil"/>
              <w:bottom w:val="single" w:sz="4" w:space="0" w:color="auto"/>
              <w:right w:val="single" w:sz="8" w:space="0" w:color="auto"/>
            </w:tcBorders>
            <w:shd w:val="clear" w:color="auto" w:fill="auto"/>
            <w:noWrap/>
            <w:vAlign w:val="bottom"/>
            <w:hideMark/>
          </w:tcPr>
          <w:p w14:paraId="348A4703" w14:textId="5E1FEA06"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2,078.33</w:t>
            </w:r>
          </w:p>
        </w:tc>
      </w:tr>
      <w:tr w:rsidR="00BC3D6D" w:rsidRPr="00BC3D6D" w14:paraId="763957B5"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92D050"/>
            <w:noWrap/>
            <w:vAlign w:val="bottom"/>
            <w:hideMark/>
          </w:tcPr>
          <w:p w14:paraId="34A0C14B" w14:textId="0A341F43" w:rsidR="00BC3D6D" w:rsidRPr="00BC3D6D" w:rsidRDefault="00BC3D6D" w:rsidP="00BC3D6D">
            <w:pPr>
              <w:jc w:val="center"/>
              <w:rPr>
                <w:rFonts w:ascii="Cambria" w:hAnsi="Cambria" w:cs="Calibri"/>
                <w:b/>
                <w:bCs/>
                <w:color w:val="FFFFFF"/>
                <w:sz w:val="22"/>
                <w:szCs w:val="22"/>
              </w:rPr>
            </w:pPr>
            <w:r w:rsidRPr="00BC3D6D">
              <w:rPr>
                <w:rFonts w:ascii="Cambria" w:hAnsi="Cambria" w:cs="Calibri"/>
                <w:b/>
                <w:bCs/>
                <w:color w:val="FFFFFF"/>
                <w:sz w:val="22"/>
                <w:szCs w:val="22"/>
              </w:rPr>
              <w:t>ML</w:t>
            </w:r>
          </w:p>
        </w:tc>
        <w:tc>
          <w:tcPr>
            <w:tcW w:w="1340" w:type="dxa"/>
            <w:tcBorders>
              <w:top w:val="nil"/>
              <w:left w:val="nil"/>
              <w:bottom w:val="single" w:sz="4" w:space="0" w:color="auto"/>
              <w:right w:val="single" w:sz="4" w:space="0" w:color="auto"/>
            </w:tcBorders>
            <w:shd w:val="clear" w:color="auto" w:fill="auto"/>
            <w:noWrap/>
            <w:vAlign w:val="bottom"/>
            <w:hideMark/>
          </w:tcPr>
          <w:p w14:paraId="16243463" w14:textId="72BC130B"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1,247.00</w:t>
            </w:r>
          </w:p>
        </w:tc>
        <w:tc>
          <w:tcPr>
            <w:tcW w:w="1220" w:type="dxa"/>
            <w:tcBorders>
              <w:top w:val="nil"/>
              <w:left w:val="nil"/>
              <w:bottom w:val="single" w:sz="4" w:space="0" w:color="auto"/>
              <w:right w:val="single" w:sz="8" w:space="0" w:color="auto"/>
            </w:tcBorders>
            <w:shd w:val="clear" w:color="auto" w:fill="auto"/>
            <w:noWrap/>
            <w:vAlign w:val="bottom"/>
            <w:hideMark/>
          </w:tcPr>
          <w:p w14:paraId="05FA8127" w14:textId="345BA1B6"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1,662.67</w:t>
            </w:r>
          </w:p>
        </w:tc>
      </w:tr>
      <w:tr w:rsidR="00BC3D6D" w:rsidRPr="00BC3D6D" w14:paraId="436EFF29"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92D050"/>
            <w:noWrap/>
            <w:vAlign w:val="bottom"/>
            <w:hideMark/>
          </w:tcPr>
          <w:p w14:paraId="10E6B0D8" w14:textId="4E8C1068" w:rsidR="00BC3D6D" w:rsidRPr="00BC3D6D" w:rsidRDefault="00BC3D6D" w:rsidP="00BC3D6D">
            <w:pPr>
              <w:jc w:val="center"/>
              <w:rPr>
                <w:rFonts w:ascii="Cambria" w:hAnsi="Cambria" w:cs="Calibri"/>
                <w:b/>
                <w:bCs/>
                <w:color w:val="FFFFFF"/>
                <w:sz w:val="22"/>
                <w:szCs w:val="22"/>
              </w:rPr>
            </w:pPr>
            <w:r w:rsidRPr="00BC3D6D">
              <w:rPr>
                <w:rFonts w:ascii="Cambria" w:hAnsi="Cambria" w:cs="Calibri"/>
                <w:b/>
                <w:bCs/>
                <w:color w:val="FFFFFF"/>
                <w:sz w:val="22"/>
                <w:szCs w:val="22"/>
              </w:rPr>
              <w:t>LH</w:t>
            </w:r>
          </w:p>
        </w:tc>
        <w:tc>
          <w:tcPr>
            <w:tcW w:w="1340" w:type="dxa"/>
            <w:tcBorders>
              <w:top w:val="nil"/>
              <w:left w:val="nil"/>
              <w:bottom w:val="single" w:sz="4" w:space="0" w:color="auto"/>
              <w:right w:val="single" w:sz="4" w:space="0" w:color="auto"/>
            </w:tcBorders>
            <w:shd w:val="clear" w:color="auto" w:fill="auto"/>
            <w:noWrap/>
            <w:vAlign w:val="bottom"/>
            <w:hideMark/>
          </w:tcPr>
          <w:p w14:paraId="7D1B0C22" w14:textId="33480B14"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831.33</w:t>
            </w:r>
          </w:p>
        </w:tc>
        <w:tc>
          <w:tcPr>
            <w:tcW w:w="1220" w:type="dxa"/>
            <w:tcBorders>
              <w:top w:val="nil"/>
              <w:left w:val="nil"/>
              <w:bottom w:val="single" w:sz="4" w:space="0" w:color="auto"/>
              <w:right w:val="single" w:sz="8" w:space="0" w:color="auto"/>
            </w:tcBorders>
            <w:shd w:val="clear" w:color="auto" w:fill="auto"/>
            <w:noWrap/>
            <w:vAlign w:val="bottom"/>
            <w:hideMark/>
          </w:tcPr>
          <w:p w14:paraId="11AD6100" w14:textId="7073AF9A"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1,247.00</w:t>
            </w:r>
          </w:p>
        </w:tc>
      </w:tr>
      <w:tr w:rsidR="00BC3D6D" w:rsidRPr="00BC3D6D" w14:paraId="200C9CA0" w14:textId="77777777" w:rsidTr="00BC3D6D">
        <w:trPr>
          <w:trHeight w:val="276"/>
        </w:trPr>
        <w:tc>
          <w:tcPr>
            <w:tcW w:w="1680" w:type="dxa"/>
            <w:tcBorders>
              <w:top w:val="nil"/>
              <w:left w:val="single" w:sz="8" w:space="0" w:color="auto"/>
              <w:bottom w:val="single" w:sz="4" w:space="0" w:color="auto"/>
              <w:right w:val="single" w:sz="4" w:space="0" w:color="auto"/>
            </w:tcBorders>
            <w:shd w:val="clear" w:color="000000" w:fill="92D050"/>
            <w:noWrap/>
            <w:vAlign w:val="bottom"/>
            <w:hideMark/>
          </w:tcPr>
          <w:p w14:paraId="143FB0A6" w14:textId="1461433F" w:rsidR="00BC3D6D" w:rsidRPr="00BC3D6D" w:rsidRDefault="00BC3D6D" w:rsidP="00BC3D6D">
            <w:pPr>
              <w:jc w:val="center"/>
              <w:rPr>
                <w:rFonts w:ascii="Cambria" w:hAnsi="Cambria" w:cs="Calibri"/>
                <w:b/>
                <w:bCs/>
                <w:color w:val="FFFFFF"/>
                <w:sz w:val="22"/>
                <w:szCs w:val="22"/>
              </w:rPr>
            </w:pPr>
            <w:r w:rsidRPr="00BC3D6D">
              <w:rPr>
                <w:rFonts w:ascii="Cambria" w:hAnsi="Cambria" w:cs="Calibri"/>
                <w:b/>
                <w:bCs/>
                <w:color w:val="FFFFFF"/>
                <w:sz w:val="22"/>
                <w:szCs w:val="22"/>
              </w:rPr>
              <w:t>LM</w:t>
            </w:r>
          </w:p>
        </w:tc>
        <w:tc>
          <w:tcPr>
            <w:tcW w:w="1340" w:type="dxa"/>
            <w:tcBorders>
              <w:top w:val="nil"/>
              <w:left w:val="nil"/>
              <w:bottom w:val="single" w:sz="4" w:space="0" w:color="auto"/>
              <w:right w:val="single" w:sz="4" w:space="0" w:color="auto"/>
            </w:tcBorders>
            <w:shd w:val="clear" w:color="auto" w:fill="auto"/>
            <w:noWrap/>
            <w:vAlign w:val="bottom"/>
            <w:hideMark/>
          </w:tcPr>
          <w:p w14:paraId="6A68813B" w14:textId="096078CB"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415.67</w:t>
            </w:r>
          </w:p>
        </w:tc>
        <w:tc>
          <w:tcPr>
            <w:tcW w:w="1220" w:type="dxa"/>
            <w:tcBorders>
              <w:top w:val="nil"/>
              <w:left w:val="nil"/>
              <w:bottom w:val="single" w:sz="4" w:space="0" w:color="auto"/>
              <w:right w:val="single" w:sz="8" w:space="0" w:color="auto"/>
            </w:tcBorders>
            <w:shd w:val="clear" w:color="auto" w:fill="auto"/>
            <w:noWrap/>
            <w:vAlign w:val="bottom"/>
            <w:hideMark/>
          </w:tcPr>
          <w:p w14:paraId="4632A5BA" w14:textId="7F988164"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831.33</w:t>
            </w:r>
          </w:p>
        </w:tc>
      </w:tr>
      <w:tr w:rsidR="00BC3D6D" w:rsidRPr="00BC3D6D" w14:paraId="7940E186" w14:textId="77777777" w:rsidTr="00BC3D6D">
        <w:trPr>
          <w:trHeight w:val="288"/>
        </w:trPr>
        <w:tc>
          <w:tcPr>
            <w:tcW w:w="1680" w:type="dxa"/>
            <w:tcBorders>
              <w:top w:val="nil"/>
              <w:left w:val="single" w:sz="8" w:space="0" w:color="auto"/>
              <w:bottom w:val="single" w:sz="8" w:space="0" w:color="auto"/>
              <w:right w:val="single" w:sz="4" w:space="0" w:color="auto"/>
            </w:tcBorders>
            <w:shd w:val="clear" w:color="000000" w:fill="92D050"/>
            <w:noWrap/>
            <w:vAlign w:val="bottom"/>
            <w:hideMark/>
          </w:tcPr>
          <w:p w14:paraId="1EE1679D" w14:textId="1F1B9A43" w:rsidR="00BC3D6D" w:rsidRPr="00BC3D6D" w:rsidRDefault="00BC3D6D" w:rsidP="00BC3D6D">
            <w:pPr>
              <w:jc w:val="center"/>
              <w:rPr>
                <w:rFonts w:ascii="Cambria" w:hAnsi="Cambria" w:cs="Calibri"/>
                <w:b/>
                <w:bCs/>
                <w:color w:val="FFFFFF"/>
                <w:sz w:val="22"/>
                <w:szCs w:val="22"/>
              </w:rPr>
            </w:pPr>
            <w:r w:rsidRPr="00BC3D6D">
              <w:rPr>
                <w:rFonts w:ascii="Cambria" w:hAnsi="Cambria" w:cs="Calibri"/>
                <w:b/>
                <w:bCs/>
                <w:color w:val="FFFFFF"/>
                <w:sz w:val="22"/>
                <w:szCs w:val="22"/>
              </w:rPr>
              <w:t>L</w:t>
            </w:r>
          </w:p>
        </w:tc>
        <w:tc>
          <w:tcPr>
            <w:tcW w:w="1340" w:type="dxa"/>
            <w:tcBorders>
              <w:top w:val="nil"/>
              <w:left w:val="nil"/>
              <w:bottom w:val="single" w:sz="8" w:space="0" w:color="auto"/>
              <w:right w:val="single" w:sz="4" w:space="0" w:color="auto"/>
            </w:tcBorders>
            <w:shd w:val="clear" w:color="auto" w:fill="auto"/>
            <w:noWrap/>
            <w:vAlign w:val="bottom"/>
            <w:hideMark/>
          </w:tcPr>
          <w:p w14:paraId="4850C26F" w14:textId="070E48C3"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w:t>
            </w:r>
          </w:p>
        </w:tc>
        <w:tc>
          <w:tcPr>
            <w:tcW w:w="1220" w:type="dxa"/>
            <w:tcBorders>
              <w:top w:val="nil"/>
              <w:left w:val="nil"/>
              <w:bottom w:val="single" w:sz="8" w:space="0" w:color="auto"/>
              <w:right w:val="single" w:sz="8" w:space="0" w:color="auto"/>
            </w:tcBorders>
            <w:shd w:val="clear" w:color="auto" w:fill="auto"/>
            <w:noWrap/>
            <w:vAlign w:val="bottom"/>
            <w:hideMark/>
          </w:tcPr>
          <w:p w14:paraId="5D3FF257" w14:textId="029183E2" w:rsidR="00BC3D6D" w:rsidRPr="00BC3D6D" w:rsidRDefault="00BC3D6D" w:rsidP="00BC3D6D">
            <w:pPr>
              <w:jc w:val="center"/>
              <w:rPr>
                <w:rFonts w:ascii="Cambria" w:hAnsi="Cambria" w:cs="Calibri"/>
                <w:color w:val="000000"/>
                <w:sz w:val="22"/>
                <w:szCs w:val="22"/>
              </w:rPr>
            </w:pPr>
            <w:r w:rsidRPr="00BC3D6D">
              <w:rPr>
                <w:rFonts w:ascii="Cambria" w:hAnsi="Cambria" w:cs="Calibri"/>
                <w:color w:val="000000"/>
                <w:sz w:val="22"/>
                <w:szCs w:val="22"/>
              </w:rPr>
              <w:t>415.67</w:t>
            </w:r>
          </w:p>
        </w:tc>
      </w:tr>
    </w:tbl>
    <w:p w14:paraId="3870ACD5" w14:textId="77777777" w:rsidR="00427B66" w:rsidRPr="007772CD" w:rsidRDefault="00427B66" w:rsidP="00B549BB">
      <w:pPr>
        <w:pStyle w:val="BodyText"/>
        <w:rPr>
          <w:rFonts w:ascii="Bahnschrift" w:hAnsi="Bahnschrift"/>
          <w:b w:val="0"/>
          <w:sz w:val="16"/>
          <w:szCs w:val="16"/>
          <w:u w:val="single"/>
          <w:vertAlign w:val="subscript"/>
        </w:rPr>
      </w:pPr>
    </w:p>
    <w:p w14:paraId="06BC2261" w14:textId="77777777" w:rsidR="00B549BB" w:rsidRPr="00B61598" w:rsidRDefault="00B549BB" w:rsidP="00B549BB">
      <w:pPr>
        <w:pStyle w:val="BodyText"/>
        <w:rPr>
          <w:rFonts w:ascii="Cambria" w:hAnsi="Cambria"/>
          <w:bCs w:val="0"/>
          <w:sz w:val="24"/>
          <w:u w:val="single"/>
        </w:rPr>
      </w:pPr>
      <w:r w:rsidRPr="00B61598">
        <w:rPr>
          <w:rFonts w:ascii="Cambria" w:hAnsi="Cambria"/>
          <w:bCs w:val="0"/>
          <w:sz w:val="24"/>
          <w:u w:val="single"/>
        </w:rPr>
        <w:t>Range Designations</w:t>
      </w:r>
    </w:p>
    <w:p w14:paraId="0A52ECD7" w14:textId="77777777" w:rsidR="00B549BB" w:rsidRPr="00DC5F97" w:rsidRDefault="00B549BB" w:rsidP="00B549BB">
      <w:pPr>
        <w:pStyle w:val="NoSpacing"/>
        <w:rPr>
          <w:rFonts w:ascii="Bahnschrift SemiLight" w:hAnsi="Bahnschrift SemiLight"/>
          <w:sz w:val="24"/>
          <w:szCs w:val="24"/>
        </w:rPr>
      </w:pPr>
      <w:r w:rsidRPr="00B61598">
        <w:rPr>
          <w:rFonts w:ascii="Cambria" w:hAnsi="Cambria"/>
          <w:b/>
          <w:bCs/>
          <w:sz w:val="24"/>
          <w:szCs w:val="24"/>
        </w:rPr>
        <w:t>High</w:t>
      </w:r>
      <w:r w:rsidRPr="00DC5F97">
        <w:rPr>
          <w:rFonts w:ascii="Bahnschrift SemiLight" w:hAnsi="Bahnschrift SemiLight"/>
          <w:sz w:val="24"/>
          <w:szCs w:val="24"/>
        </w:rPr>
        <w:t>: The Occurrence of risk at this level could impact the accuracy of fiscal information and potential noncompliance with federal and state rules and regulations. Strong evidence exists to suggest that controls may not be in place or may not be effective. An element within a category with a high designation will be included in the scope of the fiscal monitoring review.</w:t>
      </w:r>
    </w:p>
    <w:p w14:paraId="0BCD9AE4" w14:textId="77777777" w:rsidR="00B549BB" w:rsidRPr="00DC5F97" w:rsidRDefault="00B549BB" w:rsidP="00B549BB">
      <w:pPr>
        <w:pStyle w:val="NoSpacing"/>
        <w:rPr>
          <w:rFonts w:ascii="Bahnschrift SemiLight" w:hAnsi="Bahnschrift SemiLight"/>
          <w:sz w:val="24"/>
          <w:szCs w:val="24"/>
        </w:rPr>
      </w:pPr>
      <w:r w:rsidRPr="00B61598">
        <w:rPr>
          <w:rFonts w:ascii="Cambria" w:hAnsi="Cambria"/>
          <w:b/>
          <w:bCs/>
          <w:sz w:val="24"/>
          <w:szCs w:val="24"/>
        </w:rPr>
        <w:lastRenderedPageBreak/>
        <w:t>Medium</w:t>
      </w:r>
      <w:r w:rsidRPr="00DC5F97">
        <w:rPr>
          <w:rFonts w:ascii="Bahnschrift SemiLight" w:hAnsi="Bahnschrift SemiLight"/>
          <w:sz w:val="24"/>
          <w:szCs w:val="24"/>
        </w:rPr>
        <w:t>: The Occurrence of risk at this level could impact the accuracy of fiscal information. Evidence, (not as strong as that in the High designation) exists to suggest that controls may not be in place or may not be effective. An element within a category with a medium designation will be included in the scope of the fiscal monitoring review. However, the sample size may be less than that of the high designation.</w:t>
      </w:r>
    </w:p>
    <w:p w14:paraId="69BBDE63" w14:textId="77777777" w:rsidR="00B549BB" w:rsidRPr="00DC5F97" w:rsidRDefault="00B549BB" w:rsidP="00B549BB">
      <w:pPr>
        <w:pStyle w:val="NoSpacing"/>
        <w:rPr>
          <w:rFonts w:ascii="Bahnschrift SemiLight" w:hAnsi="Bahnschrift SemiLight"/>
          <w:sz w:val="24"/>
          <w:szCs w:val="24"/>
        </w:rPr>
      </w:pPr>
    </w:p>
    <w:p w14:paraId="674F79B1" w14:textId="77777777" w:rsidR="00B549BB" w:rsidRPr="00DC5F97" w:rsidRDefault="00B549BB" w:rsidP="00B549BB">
      <w:pPr>
        <w:pStyle w:val="NoSpacing"/>
        <w:rPr>
          <w:rFonts w:ascii="Bahnschrift SemiLight" w:hAnsi="Bahnschrift SemiLight"/>
          <w:sz w:val="24"/>
          <w:szCs w:val="24"/>
        </w:rPr>
      </w:pPr>
      <w:r w:rsidRPr="00B61598">
        <w:rPr>
          <w:rFonts w:ascii="Cambria" w:hAnsi="Cambria"/>
          <w:b/>
          <w:bCs/>
          <w:sz w:val="24"/>
          <w:szCs w:val="24"/>
        </w:rPr>
        <w:t>Low</w:t>
      </w:r>
      <w:r w:rsidRPr="00DC5F97">
        <w:rPr>
          <w:rFonts w:ascii="Bahnschrift SemiLight" w:hAnsi="Bahnschrift SemiLight"/>
          <w:sz w:val="24"/>
          <w:szCs w:val="24"/>
        </w:rPr>
        <w:t>: The Occurrence of risk at this level could minimally impact the accuracy of fiscal information. There are indications that suggest that current controls maybe weak and/or need minor improvements to alleviate the possibility of future issues.  An element within a category with a low designation may not be included in the scope of the fiscal monitoring review. Depending on the item it may be treated as a briefing item during the financial monitoring review.</w:t>
      </w:r>
    </w:p>
    <w:p w14:paraId="6EFC738F" w14:textId="77777777" w:rsidR="001D5EB5" w:rsidRPr="00DC5F97" w:rsidRDefault="001D5EB5" w:rsidP="00B549BB">
      <w:pPr>
        <w:pStyle w:val="NoSpacing"/>
        <w:rPr>
          <w:rFonts w:ascii="Bahnschrift" w:hAnsi="Bahnschrift"/>
          <w:sz w:val="24"/>
          <w:szCs w:val="24"/>
          <w:u w:val="single"/>
        </w:rPr>
      </w:pPr>
    </w:p>
    <w:p w14:paraId="65EA233E" w14:textId="77777777" w:rsidR="00B549BB" w:rsidRPr="001D5EB5" w:rsidRDefault="00B549BB" w:rsidP="00B549BB">
      <w:pPr>
        <w:pStyle w:val="NoSpacing"/>
        <w:rPr>
          <w:rFonts w:ascii="Bahnschrift SemiLight" w:hAnsi="Bahnschrift SemiLight"/>
          <w:b/>
          <w:bCs/>
          <w:sz w:val="24"/>
          <w:szCs w:val="24"/>
          <w:u w:val="single"/>
        </w:rPr>
      </w:pPr>
      <w:r w:rsidRPr="00B61598">
        <w:rPr>
          <w:rFonts w:ascii="Cambria" w:hAnsi="Cambria"/>
          <w:b/>
          <w:bCs/>
          <w:sz w:val="24"/>
          <w:szCs w:val="24"/>
          <w:u w:val="single"/>
        </w:rPr>
        <w:t>Populatio</w:t>
      </w:r>
      <w:r w:rsidRPr="001D5EB5">
        <w:rPr>
          <w:rFonts w:ascii="Bahnschrift SemiLight" w:hAnsi="Bahnschrift SemiLight"/>
          <w:b/>
          <w:bCs/>
          <w:sz w:val="24"/>
          <w:szCs w:val="24"/>
          <w:u w:val="single"/>
        </w:rPr>
        <w:t xml:space="preserve">n </w:t>
      </w:r>
    </w:p>
    <w:p w14:paraId="6256E9BF" w14:textId="7CFDB469" w:rsidR="00B549BB" w:rsidRPr="001D5EB5" w:rsidRDefault="00B549BB" w:rsidP="00B549BB">
      <w:pPr>
        <w:pStyle w:val="NoSpacing"/>
        <w:rPr>
          <w:rFonts w:ascii="Bahnschrift SemiLight" w:hAnsi="Bahnschrift SemiLight"/>
          <w:sz w:val="24"/>
          <w:szCs w:val="24"/>
        </w:rPr>
      </w:pPr>
      <w:r w:rsidRPr="001D5EB5">
        <w:rPr>
          <w:rFonts w:ascii="Bahnschrift SemiLight" w:hAnsi="Bahnschrift SemiLight" w:cstheme="minorHAnsi"/>
          <w:sz w:val="24"/>
          <w:szCs w:val="24"/>
        </w:rPr>
        <w:t xml:space="preserve">This financial risk assessment evaluated the contractors of </w:t>
      </w:r>
      <w:r w:rsidRPr="00D5022B">
        <w:rPr>
          <w:rFonts w:asciiTheme="majorHAnsi" w:hAnsiTheme="majorHAnsi" w:cstheme="minorHAnsi"/>
          <w:i/>
          <w:iCs/>
          <w:color w:val="984806" w:themeColor="accent6" w:themeShade="80"/>
          <w:sz w:val="24"/>
          <w:szCs w:val="24"/>
        </w:rPr>
        <w:t xml:space="preserve">Workforce Solutions </w:t>
      </w:r>
      <w:r w:rsidR="007772CD" w:rsidRPr="00D5022B">
        <w:rPr>
          <w:rFonts w:asciiTheme="majorHAnsi" w:hAnsiTheme="majorHAnsi" w:cstheme="minorHAnsi"/>
          <w:i/>
          <w:iCs/>
          <w:color w:val="984806" w:themeColor="accent6" w:themeShade="80"/>
          <w:sz w:val="24"/>
          <w:szCs w:val="24"/>
        </w:rPr>
        <w:t>North Texas</w:t>
      </w:r>
      <w:r w:rsidR="007772CD" w:rsidRPr="007772CD">
        <w:rPr>
          <w:rFonts w:ascii="Bahnschrift SemiLight" w:hAnsi="Bahnschrift SemiLight" w:cstheme="minorHAnsi"/>
          <w:color w:val="002060"/>
        </w:rPr>
        <w:t xml:space="preserve"> </w:t>
      </w:r>
      <w:r w:rsidRPr="001D5EB5">
        <w:rPr>
          <w:rFonts w:ascii="Bahnschrift SemiLight" w:hAnsi="Bahnschrift SemiLight" w:cstheme="minorHAnsi"/>
          <w:sz w:val="24"/>
          <w:szCs w:val="24"/>
        </w:rPr>
        <w:t>identified in on the demographic</w:t>
      </w:r>
      <w:r w:rsidR="005A28E9" w:rsidRPr="001D5EB5">
        <w:rPr>
          <w:rFonts w:ascii="Bahnschrift SemiLight" w:hAnsi="Bahnschrift SemiLight" w:cstheme="minorHAnsi"/>
          <w:sz w:val="24"/>
          <w:szCs w:val="24"/>
        </w:rPr>
        <w:t>’</w:t>
      </w:r>
      <w:r w:rsidRPr="001D5EB5">
        <w:rPr>
          <w:rFonts w:ascii="Bahnschrift SemiLight" w:hAnsi="Bahnschrift SemiLight" w:cstheme="minorHAnsi"/>
          <w:sz w:val="24"/>
          <w:szCs w:val="24"/>
        </w:rPr>
        <w:t xml:space="preserve">s page of this report. </w:t>
      </w:r>
    </w:p>
    <w:p w14:paraId="3B5237A1" w14:textId="77777777" w:rsidR="00B549BB" w:rsidRPr="001D5EB5" w:rsidRDefault="00B549BB" w:rsidP="00B549BB">
      <w:pPr>
        <w:rPr>
          <w:rFonts w:ascii="Bahnschrift SemiLight" w:hAnsi="Bahnschrift SemiLight"/>
        </w:rPr>
      </w:pPr>
    </w:p>
    <w:p w14:paraId="5C2CDCE6" w14:textId="77777777" w:rsidR="00B549BB" w:rsidRPr="001D5EB5" w:rsidRDefault="00B549BB" w:rsidP="00B549BB">
      <w:pPr>
        <w:rPr>
          <w:rFonts w:ascii="Bahnschrift SemiLight" w:hAnsi="Bahnschrift SemiLight"/>
        </w:rPr>
      </w:pPr>
    </w:p>
    <w:p w14:paraId="40235359" w14:textId="77777777" w:rsidR="00B549BB" w:rsidRDefault="00B549BB" w:rsidP="00B549BB">
      <w:pPr>
        <w:rPr>
          <w:rFonts w:ascii="Arial Narrow" w:hAnsi="Arial Narrow"/>
        </w:rPr>
      </w:pPr>
    </w:p>
    <w:p w14:paraId="26415779" w14:textId="77777777" w:rsidR="00B549BB" w:rsidRDefault="00B549BB" w:rsidP="00B549BB">
      <w:pPr>
        <w:rPr>
          <w:rFonts w:ascii="Arial Narrow" w:hAnsi="Arial Narrow"/>
        </w:rPr>
      </w:pPr>
    </w:p>
    <w:p w14:paraId="33C58424" w14:textId="77777777" w:rsidR="00B549BB" w:rsidRDefault="00B549BB" w:rsidP="00B549BB">
      <w:pPr>
        <w:rPr>
          <w:rFonts w:ascii="Arial Narrow" w:hAnsi="Arial Narrow"/>
        </w:rPr>
      </w:pPr>
    </w:p>
    <w:p w14:paraId="3B6B21FC" w14:textId="77777777" w:rsidR="00B549BB" w:rsidRDefault="00B549BB" w:rsidP="00B549BB">
      <w:pPr>
        <w:rPr>
          <w:rFonts w:ascii="Arial Narrow" w:hAnsi="Arial Narrow"/>
        </w:rPr>
      </w:pPr>
    </w:p>
    <w:p w14:paraId="18039046" w14:textId="77777777" w:rsidR="00B549BB" w:rsidRDefault="00B549BB" w:rsidP="00B549BB">
      <w:pPr>
        <w:rPr>
          <w:rFonts w:ascii="Arial Narrow" w:hAnsi="Arial Narrow"/>
        </w:rPr>
      </w:pPr>
    </w:p>
    <w:p w14:paraId="5BC28B18" w14:textId="77777777" w:rsidR="00B549BB" w:rsidRDefault="00B549BB" w:rsidP="00B549BB">
      <w:pPr>
        <w:rPr>
          <w:rFonts w:ascii="Arial Narrow" w:hAnsi="Arial Narrow"/>
        </w:rPr>
      </w:pPr>
    </w:p>
    <w:p w14:paraId="515F045D" w14:textId="77777777" w:rsidR="00B549BB" w:rsidRDefault="00B549BB" w:rsidP="00B549BB">
      <w:pPr>
        <w:rPr>
          <w:rFonts w:ascii="Arial Narrow" w:hAnsi="Arial Narrow"/>
        </w:rPr>
      </w:pPr>
    </w:p>
    <w:p w14:paraId="45374C29" w14:textId="77777777" w:rsidR="00B549BB" w:rsidRDefault="00B549BB" w:rsidP="00B549BB">
      <w:pPr>
        <w:rPr>
          <w:rFonts w:ascii="Arial Narrow" w:hAnsi="Arial Narrow"/>
        </w:rPr>
      </w:pPr>
    </w:p>
    <w:p w14:paraId="75719BB4" w14:textId="77777777" w:rsidR="00B549BB" w:rsidRDefault="00B549BB" w:rsidP="00B549BB">
      <w:pPr>
        <w:rPr>
          <w:rFonts w:ascii="Arial Narrow" w:hAnsi="Arial Narrow"/>
        </w:rPr>
      </w:pPr>
    </w:p>
    <w:p w14:paraId="226F4E4A" w14:textId="77777777" w:rsidR="00B549BB" w:rsidRDefault="00B549BB" w:rsidP="00B549BB">
      <w:pPr>
        <w:rPr>
          <w:rFonts w:ascii="Arial Narrow" w:hAnsi="Arial Narrow"/>
        </w:rPr>
      </w:pPr>
    </w:p>
    <w:p w14:paraId="231B3724" w14:textId="77777777" w:rsidR="00B549BB" w:rsidRDefault="00B549BB" w:rsidP="00B549BB">
      <w:pPr>
        <w:rPr>
          <w:rFonts w:ascii="Arial Narrow" w:hAnsi="Arial Narrow"/>
        </w:rPr>
      </w:pPr>
    </w:p>
    <w:p w14:paraId="661F13C7" w14:textId="77777777" w:rsidR="00B549BB" w:rsidRDefault="00B549BB" w:rsidP="00B549BB">
      <w:pPr>
        <w:rPr>
          <w:rFonts w:ascii="Arial Narrow" w:hAnsi="Arial Narrow"/>
        </w:rPr>
      </w:pPr>
    </w:p>
    <w:p w14:paraId="51469FDE" w14:textId="27378DA8" w:rsidR="00B549BB" w:rsidRDefault="00B549BB" w:rsidP="00B549BB">
      <w:pPr>
        <w:rPr>
          <w:rFonts w:ascii="Arial Narrow" w:hAnsi="Arial Narrow"/>
        </w:rPr>
      </w:pPr>
    </w:p>
    <w:p w14:paraId="19421BD5" w14:textId="18327DE4" w:rsidR="00A100A0" w:rsidRDefault="00A100A0" w:rsidP="00B549BB">
      <w:pPr>
        <w:rPr>
          <w:rFonts w:ascii="Arial Narrow" w:hAnsi="Arial Narrow"/>
        </w:rPr>
      </w:pPr>
    </w:p>
    <w:p w14:paraId="6414608E" w14:textId="7CC9016C" w:rsidR="00A100A0" w:rsidRDefault="00A100A0" w:rsidP="00B549BB">
      <w:pPr>
        <w:rPr>
          <w:rFonts w:ascii="Arial Narrow" w:hAnsi="Arial Narrow"/>
        </w:rPr>
      </w:pPr>
    </w:p>
    <w:p w14:paraId="46488445" w14:textId="6707249B" w:rsidR="00A100A0" w:rsidRDefault="00A100A0" w:rsidP="00B549BB">
      <w:pPr>
        <w:rPr>
          <w:rFonts w:ascii="Arial Narrow" w:hAnsi="Arial Narrow"/>
        </w:rPr>
      </w:pPr>
    </w:p>
    <w:p w14:paraId="18142A79" w14:textId="58AE2777" w:rsidR="00A100A0" w:rsidRDefault="00A100A0" w:rsidP="00B549BB">
      <w:pPr>
        <w:rPr>
          <w:rFonts w:ascii="Arial Narrow" w:hAnsi="Arial Narrow"/>
        </w:rPr>
      </w:pPr>
    </w:p>
    <w:p w14:paraId="2C2CF352" w14:textId="537F6AA1" w:rsidR="00A100A0" w:rsidRDefault="00A100A0" w:rsidP="00B549BB">
      <w:pPr>
        <w:rPr>
          <w:rFonts w:ascii="Arial Narrow" w:hAnsi="Arial Narrow"/>
        </w:rPr>
      </w:pPr>
    </w:p>
    <w:p w14:paraId="5A2A7429" w14:textId="77777777" w:rsidR="00A100A0" w:rsidRDefault="00A100A0" w:rsidP="00B549BB">
      <w:pPr>
        <w:rPr>
          <w:rFonts w:ascii="Arial Narrow" w:hAnsi="Arial Narrow"/>
        </w:rPr>
      </w:pPr>
    </w:p>
    <w:p w14:paraId="1D6FFB0A" w14:textId="77777777" w:rsidR="00B549BB" w:rsidRDefault="00B549BB" w:rsidP="00B549BB">
      <w:pPr>
        <w:rPr>
          <w:rFonts w:ascii="Arial Narrow" w:hAnsi="Arial Narrow"/>
        </w:rPr>
      </w:pPr>
    </w:p>
    <w:p w14:paraId="6BFE7DFB" w14:textId="77777777" w:rsidR="00B549BB" w:rsidRDefault="00B549BB" w:rsidP="00B549BB">
      <w:pPr>
        <w:rPr>
          <w:rFonts w:ascii="Arial Narrow" w:hAnsi="Arial Narrow"/>
        </w:rPr>
      </w:pPr>
    </w:p>
    <w:p w14:paraId="1D33EDBD" w14:textId="77777777" w:rsidR="00B549BB" w:rsidRDefault="00B549BB" w:rsidP="00B549BB">
      <w:pPr>
        <w:rPr>
          <w:rFonts w:ascii="Arial Narrow" w:hAnsi="Arial Narrow"/>
        </w:rPr>
      </w:pPr>
    </w:p>
    <w:p w14:paraId="6C342055" w14:textId="77777777" w:rsidR="00B549BB" w:rsidRDefault="00B549BB" w:rsidP="00B549BB">
      <w:pPr>
        <w:rPr>
          <w:rFonts w:ascii="Arial Narrow" w:hAnsi="Arial Narrow"/>
        </w:rPr>
      </w:pPr>
    </w:p>
    <w:p w14:paraId="26C95152" w14:textId="77777777" w:rsidR="00B549BB" w:rsidRDefault="00B549BB" w:rsidP="00B549BB">
      <w:pPr>
        <w:rPr>
          <w:rFonts w:ascii="Arial Narrow" w:hAnsi="Arial Narrow"/>
        </w:rPr>
      </w:pPr>
    </w:p>
    <w:p w14:paraId="144174C2" w14:textId="77777777" w:rsidR="00B549BB" w:rsidRDefault="00B549BB" w:rsidP="00B549BB">
      <w:pPr>
        <w:rPr>
          <w:rFonts w:ascii="Arial Narrow" w:hAnsi="Arial Narrow"/>
        </w:rPr>
      </w:pPr>
    </w:p>
    <w:p w14:paraId="2E28F245" w14:textId="6784FDD2" w:rsidR="00B549BB" w:rsidRPr="00B61598" w:rsidRDefault="00D5022B" w:rsidP="00B549BB">
      <w:pPr>
        <w:pStyle w:val="NoSpacing"/>
        <w:rPr>
          <w:rFonts w:ascii="Cambria" w:hAnsi="Cambria"/>
          <w:sz w:val="16"/>
          <w:szCs w:val="16"/>
          <w:highlight w:val="darkBlue"/>
        </w:rPr>
      </w:pPr>
      <w:r w:rsidRPr="00D5022B">
        <w:rPr>
          <w:rFonts w:ascii="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solidFill>
              <w14:srgbClr w14:val="70AD47">
                <w14:tint w14:val="1000"/>
              </w14:srgbClr>
            </w14:solidFill>
          </w14:textFill>
        </w:rPr>
        <w:lastRenderedPageBreak/>
        <w:t>R</w:t>
      </w:r>
      <w:r w:rsidR="00B549BB" w:rsidRPr="00B61598">
        <w:rPr>
          <w:rFonts w:ascii="Cambria" w:hAnsi="Cambria" w:cs="Arial"/>
          <w:sz w:val="28"/>
          <w:szCs w:val="28"/>
        </w:rPr>
        <w:t xml:space="preserve">eview Population </w:t>
      </w:r>
      <w:r w:rsidR="00B549BB" w:rsidRPr="00B61598">
        <w:rPr>
          <w:rFonts w:ascii="Cambria" w:hAnsi="Cambria" w:cs="Arial"/>
        </w:rPr>
        <w:t>and</w:t>
      </w:r>
      <w:r w:rsidR="00B549BB" w:rsidRPr="00B61598">
        <w:rPr>
          <w:rFonts w:ascii="Cambria" w:hAnsi="Cambria" w:cs="Arial"/>
          <w:sz w:val="28"/>
          <w:szCs w:val="28"/>
        </w:rPr>
        <w:t xml:space="preserve"> Documents Reviewed</w:t>
      </w:r>
    </w:p>
    <w:p w14:paraId="73E318F4" w14:textId="77777777" w:rsidR="00B549BB" w:rsidRPr="00A100A0" w:rsidRDefault="00B549BB" w:rsidP="00B549BB">
      <w:pPr>
        <w:pStyle w:val="NoSpacing"/>
        <w:pBdr>
          <w:top w:val="single" w:sz="4" w:space="1" w:color="auto"/>
        </w:pBdr>
        <w:rPr>
          <w:rFonts w:ascii="Arial Narrow" w:hAnsi="Arial Narrow"/>
          <w:sz w:val="16"/>
          <w:szCs w:val="16"/>
        </w:rPr>
      </w:pPr>
    </w:p>
    <w:p w14:paraId="2B8F51F7" w14:textId="434DFBAD" w:rsidR="00A100A0" w:rsidRDefault="00A100A0" w:rsidP="00A100A0">
      <w:pPr>
        <w:pStyle w:val="NoSpacing"/>
        <w:rPr>
          <w:rFonts w:ascii="Bahnschrift SemiLight" w:hAnsi="Bahnschrift SemiLight" w:cs="Segoe UI Historic"/>
          <w:sz w:val="24"/>
          <w:szCs w:val="24"/>
        </w:rPr>
      </w:pPr>
      <w:r w:rsidRPr="00A20ABA">
        <w:rPr>
          <w:rFonts w:ascii="Bahnschrift SemiLight" w:hAnsi="Bahnschrift SemiLight" w:cs="Segoe UI Historic"/>
          <w:sz w:val="24"/>
          <w:szCs w:val="24"/>
        </w:rPr>
        <w:t xml:space="preserve">Reflected </w:t>
      </w:r>
      <w:r>
        <w:rPr>
          <w:rFonts w:ascii="Bahnschrift SemiLight" w:hAnsi="Bahnschrift SemiLight" w:cs="Segoe UI Historic"/>
          <w:sz w:val="24"/>
          <w:szCs w:val="24"/>
        </w:rPr>
        <w:t xml:space="preserve">following </w:t>
      </w:r>
      <w:r w:rsidRPr="00A20ABA">
        <w:rPr>
          <w:rFonts w:ascii="Bahnschrift SemiLight" w:hAnsi="Bahnschrift SemiLight" w:cs="Segoe UI Historic"/>
          <w:sz w:val="24"/>
          <w:szCs w:val="24"/>
        </w:rPr>
        <w:t>are the documents, itemized by entity, evaluated in the conduct of this fi</w:t>
      </w:r>
      <w:r>
        <w:rPr>
          <w:rFonts w:ascii="Bahnschrift SemiLight" w:hAnsi="Bahnschrift SemiLight" w:cs="Segoe UI Historic"/>
          <w:sz w:val="24"/>
          <w:szCs w:val="24"/>
        </w:rPr>
        <w:t xml:space="preserve">nancial risk assessment </w:t>
      </w:r>
      <w:r w:rsidRPr="00A20ABA">
        <w:rPr>
          <w:rFonts w:ascii="Bahnschrift SemiLight" w:hAnsi="Bahnschrift SemiLight" w:cs="Segoe UI Historic"/>
          <w:sz w:val="24"/>
          <w:szCs w:val="24"/>
        </w:rPr>
        <w:t xml:space="preserve">evaluation. The evaluation was conducted on the behalf of </w:t>
      </w:r>
      <w:r w:rsidRPr="00D5022B">
        <w:rPr>
          <w:rFonts w:asciiTheme="majorHAnsi" w:hAnsiTheme="majorHAnsi" w:cs="Segoe UI Historic"/>
          <w:b/>
          <w:i/>
          <w:iCs/>
          <w:color w:val="984806" w:themeColor="accent6" w:themeShade="80"/>
          <w:sz w:val="24"/>
          <w:szCs w:val="24"/>
        </w:rPr>
        <w:t xml:space="preserve">Workforce Solutions </w:t>
      </w:r>
      <w:r>
        <w:rPr>
          <w:rFonts w:asciiTheme="majorHAnsi" w:hAnsiTheme="majorHAnsi" w:cs="Segoe UI Historic"/>
          <w:b/>
          <w:i/>
          <w:iCs/>
          <w:color w:val="FF0000"/>
          <w:sz w:val="24"/>
          <w:szCs w:val="24"/>
        </w:rPr>
        <w:t>North Texas</w:t>
      </w:r>
      <w:r w:rsidRPr="00A20ABA">
        <w:rPr>
          <w:rFonts w:ascii="Bahnschrift SemiLight" w:hAnsi="Bahnschrift SemiLight" w:cs="Segoe UI Historic"/>
          <w:b/>
          <w:color w:val="FF0000"/>
          <w:sz w:val="24"/>
          <w:szCs w:val="24"/>
        </w:rPr>
        <w:t xml:space="preserve"> </w:t>
      </w:r>
      <w:r w:rsidRPr="006413EC">
        <w:rPr>
          <w:rFonts w:ascii="Bahnschrift SemiLight" w:hAnsi="Bahnschrift SemiLight" w:cs="Segoe UI Historic"/>
        </w:rPr>
        <w:t>(the Board)</w:t>
      </w:r>
      <w:r w:rsidRPr="00A20ABA">
        <w:rPr>
          <w:rFonts w:ascii="Bahnschrift SemiLight" w:hAnsi="Bahnschrift SemiLight" w:cs="Segoe UI Historic"/>
          <w:sz w:val="24"/>
          <w:szCs w:val="24"/>
        </w:rPr>
        <w:t xml:space="preserve"> as required by the TWC requirements at its rule </w:t>
      </w:r>
      <w:r w:rsidRPr="00D5022B">
        <w:rPr>
          <w:rFonts w:ascii="Bahnschrift SemiLight" w:hAnsi="Bahnschrift SemiLight" w:cs="Segoe UI Historic"/>
          <w:i/>
          <w:sz w:val="24"/>
          <w:szCs w:val="24"/>
        </w:rPr>
        <w:t>§</w:t>
      </w:r>
      <w:r w:rsidRPr="00A20ABA">
        <w:rPr>
          <w:rFonts w:ascii="Bahnschrift SemiLight" w:hAnsi="Bahnschrift SemiLight" w:cs="Segoe UI Historic"/>
          <w:sz w:val="24"/>
          <w:szCs w:val="24"/>
        </w:rPr>
        <w:t>802.21.</w:t>
      </w:r>
    </w:p>
    <w:p w14:paraId="7094C235" w14:textId="77777777" w:rsidR="00694FCD" w:rsidRPr="00A100A0" w:rsidRDefault="00694FCD" w:rsidP="00694FCD">
      <w:pPr>
        <w:pStyle w:val="NoSpacing"/>
        <w:ind w:left="360"/>
        <w:rPr>
          <w:sz w:val="16"/>
          <w:szCs w:val="16"/>
        </w:rPr>
      </w:pPr>
    </w:p>
    <w:p w14:paraId="180ECA73" w14:textId="51D6114C" w:rsidR="00A100A0" w:rsidRPr="00D5022B" w:rsidRDefault="00A100A0" w:rsidP="00A100A0">
      <w:pPr>
        <w:pStyle w:val="NoSpacing"/>
        <w:numPr>
          <w:ilvl w:val="0"/>
          <w:numId w:val="46"/>
        </w:numPr>
        <w:rPr>
          <w:rFonts w:ascii="Cambria" w:hAnsi="Cambria" w:cs="Segoe UI Historic"/>
          <w:b/>
          <w:color w:val="984806" w:themeColor="accent6" w:themeShade="80"/>
          <w:sz w:val="28"/>
          <w:szCs w:val="28"/>
        </w:rPr>
      </w:pPr>
      <w:r w:rsidRPr="00D5022B">
        <w:rPr>
          <w:rFonts w:ascii="Cambria" w:hAnsi="Cambria"/>
          <w:color w:val="984806" w:themeColor="accent6" w:themeShade="80"/>
          <w:sz w:val="32"/>
          <w:szCs w:val="32"/>
        </w:rPr>
        <w:t>Arbor E&amp;T, LLC dba Equus Workforce Solutions</w:t>
      </w:r>
      <w:r w:rsidRPr="00D5022B">
        <w:rPr>
          <w:rFonts w:ascii="Cambria" w:hAnsi="Cambria"/>
          <w:i/>
          <w:iCs/>
          <w:color w:val="984806" w:themeColor="accent6" w:themeShade="80"/>
          <w:sz w:val="28"/>
          <w:szCs w:val="28"/>
        </w:rPr>
        <w:t xml:space="preserve"> </w:t>
      </w:r>
      <w:r w:rsidRPr="00D5022B">
        <w:rPr>
          <w:rFonts w:ascii="Cambria" w:hAnsi="Cambria"/>
          <w:i/>
          <w:iCs/>
          <w:color w:val="984806" w:themeColor="accent6" w:themeShade="80"/>
        </w:rPr>
        <w:t>(EWS)</w:t>
      </w:r>
    </w:p>
    <w:p w14:paraId="783A94CD" w14:textId="3621B043" w:rsidR="00B61598" w:rsidRPr="002932A9" w:rsidRDefault="00B61598" w:rsidP="00B61598">
      <w:pPr>
        <w:pStyle w:val="NoSpacing"/>
        <w:numPr>
          <w:ilvl w:val="0"/>
          <w:numId w:val="13"/>
        </w:numPr>
        <w:ind w:left="360"/>
        <w:rPr>
          <w:rFonts w:ascii="Bahnschrift SemiLight" w:hAnsi="Bahnschrift SemiLight"/>
          <w:sz w:val="24"/>
          <w:szCs w:val="24"/>
        </w:rPr>
      </w:pPr>
      <w:r w:rsidRPr="00DA6C93">
        <w:rPr>
          <w:rFonts w:ascii="Cambria" w:hAnsi="Cambria"/>
          <w:b/>
          <w:bCs/>
          <w:sz w:val="24"/>
          <w:szCs w:val="24"/>
        </w:rPr>
        <w:t>Questionnaire</w:t>
      </w:r>
      <w:r>
        <w:rPr>
          <w:rFonts w:ascii="Bahnschrift SemiLight" w:hAnsi="Bahnschrift SemiLight"/>
          <w:sz w:val="24"/>
          <w:szCs w:val="24"/>
        </w:rPr>
        <w:t xml:space="preserve">: </w:t>
      </w:r>
      <w:r>
        <w:rPr>
          <w:rFonts w:asciiTheme="majorHAnsi" w:eastAsia="Times New Roman" w:hAnsiTheme="majorHAnsi" w:cs="Tahoma"/>
          <w:i/>
          <w:iCs/>
          <w:color w:val="000000"/>
          <w:sz w:val="24"/>
          <w:szCs w:val="24"/>
        </w:rPr>
        <w:t>Diaz, Smith a</w:t>
      </w:r>
      <w:r w:rsidRPr="00C414C3">
        <w:rPr>
          <w:rFonts w:asciiTheme="majorHAnsi" w:eastAsia="Times New Roman" w:hAnsiTheme="majorHAnsi" w:cs="Tahoma"/>
          <w:i/>
          <w:iCs/>
          <w:color w:val="000000"/>
          <w:sz w:val="24"/>
          <w:szCs w:val="24"/>
        </w:rPr>
        <w:t>nd Associates</w:t>
      </w:r>
      <w:r w:rsidR="00D5022B">
        <w:rPr>
          <w:rFonts w:asciiTheme="majorHAnsi" w:eastAsia="Times New Roman" w:hAnsiTheme="majorHAnsi" w:cs="Tahoma"/>
          <w:i/>
          <w:iCs/>
          <w:color w:val="000000"/>
          <w:sz w:val="24"/>
          <w:szCs w:val="24"/>
        </w:rPr>
        <w:t>’</w:t>
      </w:r>
      <w:r w:rsidRPr="00C414C3">
        <w:rPr>
          <w:rFonts w:asciiTheme="majorHAnsi" w:eastAsia="Times New Roman" w:hAnsiTheme="majorHAnsi" w:cs="Tahoma"/>
          <w:i/>
          <w:iCs/>
          <w:color w:val="000000"/>
          <w:sz w:val="24"/>
          <w:szCs w:val="24"/>
        </w:rPr>
        <w:t xml:space="preserve"> Fiscal Integrity and Financial Risk Assessment</w:t>
      </w:r>
      <w:r w:rsidRPr="00C414C3">
        <w:rPr>
          <w:rFonts w:eastAsia="Times New Roman" w:cs="Tahoma"/>
          <w:color w:val="000000"/>
          <w:sz w:val="24"/>
          <w:szCs w:val="24"/>
        </w:rPr>
        <w:t xml:space="preserve"> </w:t>
      </w:r>
      <w:r w:rsidRPr="00C414C3">
        <w:rPr>
          <w:rFonts w:asciiTheme="majorHAnsi" w:eastAsia="Times New Roman" w:hAnsiTheme="majorHAnsi" w:cs="Tahoma"/>
          <w:i/>
          <w:iCs/>
          <w:color w:val="000000"/>
          <w:sz w:val="24"/>
          <w:szCs w:val="24"/>
        </w:rPr>
        <w:t>Questionnaire</w:t>
      </w:r>
      <w:r w:rsidRPr="00C414C3">
        <w:rPr>
          <w:rFonts w:eastAsia="Times New Roman" w:cs="Tahoma"/>
          <w:color w:val="000000"/>
          <w:sz w:val="24"/>
          <w:szCs w:val="24"/>
        </w:rPr>
        <w:t xml:space="preserve"> (FIRA) </w:t>
      </w:r>
      <w:r w:rsidRPr="002932A9">
        <w:rPr>
          <w:rFonts w:ascii="Bahnschrift SemiLight" w:eastAsia="Times New Roman" w:hAnsi="Bahnschrift SemiLight" w:cs="Tahoma"/>
          <w:color w:val="000000"/>
          <w:sz w:val="24"/>
          <w:szCs w:val="24"/>
        </w:rPr>
        <w:t xml:space="preserve">completed by the </w:t>
      </w:r>
      <w:r>
        <w:rPr>
          <w:rFonts w:ascii="Bahnschrift SemiLight" w:eastAsia="Times New Roman" w:hAnsi="Bahnschrift SemiLight" w:cs="Tahoma"/>
          <w:color w:val="000000"/>
          <w:sz w:val="24"/>
          <w:szCs w:val="24"/>
        </w:rPr>
        <w:t xml:space="preserve">EWS </w:t>
      </w:r>
      <w:r>
        <w:rPr>
          <w:rFonts w:asciiTheme="majorHAnsi" w:eastAsia="Times New Roman" w:hAnsiTheme="majorHAnsi" w:cs="Tahoma"/>
          <w:i/>
          <w:iCs/>
          <w:color w:val="000000"/>
          <w:sz w:val="24"/>
          <w:szCs w:val="24"/>
        </w:rPr>
        <w:t xml:space="preserve">Project </w:t>
      </w:r>
      <w:r w:rsidRPr="006413EC">
        <w:rPr>
          <w:rFonts w:asciiTheme="majorHAnsi" w:eastAsia="Times New Roman" w:hAnsiTheme="majorHAnsi" w:cs="Tahoma"/>
          <w:i/>
          <w:iCs/>
          <w:color w:val="000000"/>
          <w:sz w:val="24"/>
          <w:szCs w:val="24"/>
        </w:rPr>
        <w:t xml:space="preserve">Director </w:t>
      </w:r>
      <w:r w:rsidRPr="002932A9">
        <w:rPr>
          <w:rFonts w:ascii="Bahnschrift SemiLight" w:eastAsia="Times New Roman" w:hAnsi="Bahnschrift SemiLight" w:cs="Tahoma"/>
          <w:color w:val="000000"/>
          <w:sz w:val="24"/>
          <w:szCs w:val="24"/>
        </w:rPr>
        <w:t xml:space="preserve">and </w:t>
      </w:r>
      <w:r>
        <w:rPr>
          <w:rFonts w:ascii="Bahnschrift SemiLight" w:eastAsia="Times New Roman" w:hAnsi="Bahnschrift SemiLight" w:cs="Tahoma"/>
          <w:color w:val="000000"/>
          <w:sz w:val="24"/>
          <w:szCs w:val="24"/>
        </w:rPr>
        <w:t xml:space="preserve">dated </w:t>
      </w:r>
      <w:r w:rsidRPr="00205539">
        <w:rPr>
          <w:rFonts w:ascii="Bahnschrift SemiLight" w:eastAsia="Times New Roman" w:hAnsi="Bahnschrift SemiLight" w:cs="Tahoma"/>
          <w:color w:val="000000"/>
        </w:rPr>
        <w:t>(unsigned)</w:t>
      </w:r>
      <w:r w:rsidRPr="002932A9">
        <w:rPr>
          <w:rFonts w:ascii="Bahnschrift SemiLight" w:eastAsia="Times New Roman" w:hAnsi="Bahnschrift SemiLight" w:cs="Tahoma"/>
          <w:color w:val="000000"/>
          <w:sz w:val="24"/>
          <w:szCs w:val="24"/>
        </w:rPr>
        <w:t xml:space="preserve"> </w:t>
      </w:r>
      <w:r>
        <w:rPr>
          <w:rFonts w:ascii="Bahnschrift SemiLight" w:eastAsia="Times New Roman" w:hAnsi="Bahnschrift SemiLight" w:cs="Tahoma"/>
          <w:color w:val="000000"/>
          <w:sz w:val="24"/>
          <w:szCs w:val="24"/>
        </w:rPr>
        <w:t>July 7, 2022</w:t>
      </w:r>
      <w:r w:rsidRPr="002932A9">
        <w:rPr>
          <w:rFonts w:ascii="Bahnschrift SemiLight" w:eastAsia="Times New Roman" w:hAnsi="Bahnschrift SemiLight" w:cs="Tahoma"/>
          <w:color w:val="000000"/>
          <w:sz w:val="24"/>
          <w:szCs w:val="24"/>
        </w:rPr>
        <w:t>. The completed questionnaire indicates:</w:t>
      </w:r>
    </w:p>
    <w:p w14:paraId="7A6B782D" w14:textId="77777777" w:rsidR="00B61598" w:rsidRPr="00C414C3" w:rsidRDefault="00B61598" w:rsidP="00B61598">
      <w:pPr>
        <w:pStyle w:val="NoSpacing"/>
        <w:numPr>
          <w:ilvl w:val="0"/>
          <w:numId w:val="14"/>
        </w:numPr>
        <w:rPr>
          <w:sz w:val="24"/>
          <w:szCs w:val="24"/>
        </w:rPr>
      </w:pPr>
      <w:r w:rsidRPr="002932A9">
        <w:rPr>
          <w:rFonts w:ascii="Bahnschrift SemiLight" w:eastAsia="Times New Roman" w:hAnsi="Bahnschrift SemiLight" w:cs="Tahoma"/>
          <w:color w:val="000000"/>
          <w:sz w:val="24"/>
          <w:szCs w:val="24"/>
        </w:rPr>
        <w:t>T</w:t>
      </w:r>
      <w:r w:rsidRPr="002932A9">
        <w:rPr>
          <w:rFonts w:ascii="Bahnschrift SemiLight" w:hAnsi="Bahnschrift SemiLight"/>
          <w:sz w:val="24"/>
          <w:szCs w:val="24"/>
        </w:rPr>
        <w:t>heir</w:t>
      </w:r>
      <w:r w:rsidRPr="00C414C3">
        <w:rPr>
          <w:sz w:val="24"/>
          <w:szCs w:val="24"/>
        </w:rPr>
        <w:t xml:space="preserve"> </w:t>
      </w:r>
      <w:r w:rsidRPr="00C414C3">
        <w:rPr>
          <w:rFonts w:asciiTheme="majorHAnsi" w:hAnsiTheme="majorHAnsi"/>
          <w:i/>
          <w:iCs/>
          <w:sz w:val="24"/>
          <w:szCs w:val="24"/>
        </w:rPr>
        <w:t>contract for the October 1, 202</w:t>
      </w:r>
      <w:r>
        <w:rPr>
          <w:rFonts w:asciiTheme="majorHAnsi" w:hAnsiTheme="majorHAnsi"/>
          <w:i/>
          <w:iCs/>
          <w:sz w:val="24"/>
          <w:szCs w:val="24"/>
        </w:rPr>
        <w:t>1</w:t>
      </w:r>
      <w:r w:rsidRPr="00C414C3">
        <w:rPr>
          <w:rFonts w:asciiTheme="majorHAnsi" w:hAnsiTheme="majorHAnsi"/>
          <w:i/>
          <w:iCs/>
          <w:sz w:val="24"/>
          <w:szCs w:val="24"/>
        </w:rPr>
        <w:t xml:space="preserve"> through September 30, 202</w:t>
      </w:r>
      <w:r>
        <w:rPr>
          <w:rFonts w:asciiTheme="majorHAnsi" w:hAnsiTheme="majorHAnsi"/>
          <w:i/>
          <w:iCs/>
          <w:sz w:val="24"/>
          <w:szCs w:val="24"/>
        </w:rPr>
        <w:t>2</w:t>
      </w:r>
      <w:r w:rsidRPr="00C414C3">
        <w:rPr>
          <w:rFonts w:asciiTheme="majorHAnsi" w:hAnsiTheme="majorHAnsi"/>
          <w:i/>
          <w:iCs/>
          <w:sz w:val="24"/>
          <w:szCs w:val="24"/>
        </w:rPr>
        <w:t xml:space="preserve"> year will be approximately $</w:t>
      </w:r>
      <w:r>
        <w:rPr>
          <w:rFonts w:asciiTheme="majorHAnsi" w:hAnsiTheme="majorHAnsi"/>
          <w:i/>
          <w:iCs/>
          <w:sz w:val="24"/>
          <w:szCs w:val="24"/>
        </w:rPr>
        <w:t>2,200</w:t>
      </w:r>
      <w:r w:rsidRPr="00C414C3">
        <w:rPr>
          <w:rFonts w:asciiTheme="majorHAnsi" w:hAnsiTheme="majorHAnsi"/>
          <w:i/>
          <w:iCs/>
          <w:sz w:val="24"/>
          <w:szCs w:val="24"/>
        </w:rPr>
        <w:t>,</w:t>
      </w:r>
      <w:r>
        <w:rPr>
          <w:rFonts w:asciiTheme="majorHAnsi" w:hAnsiTheme="majorHAnsi"/>
          <w:i/>
          <w:iCs/>
          <w:sz w:val="24"/>
          <w:szCs w:val="24"/>
        </w:rPr>
        <w:t>000</w:t>
      </w:r>
      <w:r w:rsidRPr="00C414C3">
        <w:rPr>
          <w:rFonts w:asciiTheme="majorHAnsi" w:hAnsiTheme="majorHAnsi"/>
          <w:i/>
          <w:iCs/>
          <w:sz w:val="24"/>
          <w:szCs w:val="24"/>
        </w:rPr>
        <w:t xml:space="preserve"> and cost reimbursement </w:t>
      </w:r>
      <w:r w:rsidRPr="00BA69EA">
        <w:rPr>
          <w:rFonts w:asciiTheme="majorHAnsi" w:hAnsiTheme="majorHAnsi"/>
          <w:i/>
          <w:iCs/>
          <w:sz w:val="24"/>
          <w:szCs w:val="24"/>
          <w:u w:val="single"/>
        </w:rPr>
        <w:t>without funds advanced</w:t>
      </w:r>
      <w:r w:rsidRPr="00C414C3">
        <w:rPr>
          <w:sz w:val="24"/>
          <w:szCs w:val="24"/>
        </w:rPr>
        <w:t>.</w:t>
      </w:r>
    </w:p>
    <w:p w14:paraId="07EE525C" w14:textId="77777777" w:rsidR="00B61598" w:rsidRDefault="00B61598" w:rsidP="00B61598">
      <w:pPr>
        <w:pStyle w:val="NoSpacing"/>
        <w:numPr>
          <w:ilvl w:val="0"/>
          <w:numId w:val="14"/>
        </w:numPr>
        <w:tabs>
          <w:tab w:val="left" w:pos="360"/>
        </w:tabs>
        <w:rPr>
          <w:rFonts w:ascii="Bahnschrift SemiLight" w:hAnsi="Bahnschrift SemiLight"/>
          <w:sz w:val="24"/>
          <w:szCs w:val="24"/>
        </w:rPr>
      </w:pPr>
      <w:r>
        <w:rPr>
          <w:rFonts w:ascii="Bahnschrift SemiLight" w:eastAsia="Times New Roman" w:hAnsi="Bahnschrift SemiLight" w:cs="Tahoma"/>
          <w:color w:val="000000"/>
          <w:sz w:val="24"/>
          <w:szCs w:val="24"/>
        </w:rPr>
        <w:t xml:space="preserve">EWS has incurred </w:t>
      </w:r>
      <w:r w:rsidRPr="00423516">
        <w:rPr>
          <w:rFonts w:asciiTheme="majorHAnsi" w:eastAsia="Times New Roman" w:hAnsiTheme="majorHAnsi" w:cs="Tahoma"/>
          <w:i/>
          <w:iCs/>
          <w:color w:val="000000"/>
          <w:sz w:val="24"/>
          <w:szCs w:val="24"/>
        </w:rPr>
        <w:t>$</w:t>
      </w:r>
      <w:r>
        <w:rPr>
          <w:rFonts w:asciiTheme="majorHAnsi" w:eastAsia="Times New Roman" w:hAnsiTheme="majorHAnsi" w:cs="Tahoma"/>
          <w:i/>
          <w:iCs/>
          <w:color w:val="000000"/>
          <w:sz w:val="24"/>
          <w:szCs w:val="24"/>
        </w:rPr>
        <w:t>929.61</w:t>
      </w:r>
      <w:r w:rsidRPr="00423516">
        <w:rPr>
          <w:rFonts w:asciiTheme="majorHAnsi" w:eastAsia="Times New Roman" w:hAnsiTheme="majorHAnsi" w:cs="Tahoma"/>
          <w:i/>
          <w:iCs/>
          <w:color w:val="000000"/>
          <w:sz w:val="24"/>
          <w:szCs w:val="24"/>
        </w:rPr>
        <w:t xml:space="preserve"> in </w:t>
      </w:r>
      <w:r>
        <w:rPr>
          <w:rFonts w:asciiTheme="majorHAnsi" w:eastAsia="Times New Roman" w:hAnsiTheme="majorHAnsi" w:cs="Tahoma"/>
          <w:i/>
          <w:iCs/>
          <w:color w:val="000000"/>
          <w:sz w:val="24"/>
          <w:szCs w:val="24"/>
        </w:rPr>
        <w:t xml:space="preserve">questioned </w:t>
      </w:r>
      <w:r w:rsidRPr="00423516">
        <w:rPr>
          <w:rFonts w:asciiTheme="majorHAnsi" w:eastAsia="Times New Roman" w:hAnsiTheme="majorHAnsi" w:cs="Tahoma"/>
          <w:i/>
          <w:iCs/>
          <w:color w:val="000000"/>
          <w:sz w:val="24"/>
          <w:szCs w:val="24"/>
        </w:rPr>
        <w:t>costs</w:t>
      </w:r>
      <w:r>
        <w:rPr>
          <w:rFonts w:ascii="Bahnschrift SemiLight" w:eastAsia="Times New Roman" w:hAnsi="Bahnschrift SemiLight" w:cs="Tahoma"/>
          <w:color w:val="000000"/>
          <w:sz w:val="24"/>
          <w:szCs w:val="24"/>
        </w:rPr>
        <w:t xml:space="preserve"> during the preceding five-year period </w:t>
      </w:r>
      <w:r w:rsidRPr="00D534C2">
        <w:rPr>
          <w:rFonts w:ascii="Cambria" w:eastAsia="Times New Roman" w:hAnsi="Cambria" w:cs="Tahoma"/>
          <w:color w:val="000000"/>
          <w:sz w:val="24"/>
          <w:szCs w:val="24"/>
          <w:u w:val="single"/>
        </w:rPr>
        <w:t>per the prior year FIRA response</w:t>
      </w:r>
      <w:r>
        <w:rPr>
          <w:rFonts w:ascii="Bahnschrift SemiLight" w:eastAsia="Times New Roman" w:hAnsi="Bahnschrift SemiLight" w:cs="Tahoma"/>
          <w:color w:val="000000"/>
          <w:sz w:val="24"/>
          <w:szCs w:val="24"/>
        </w:rPr>
        <w:t>.</w:t>
      </w:r>
    </w:p>
    <w:p w14:paraId="5CDA3836" w14:textId="77777777" w:rsidR="00B61598" w:rsidRPr="00205539" w:rsidRDefault="00B61598" w:rsidP="00B61598">
      <w:pPr>
        <w:pStyle w:val="NoSpacing"/>
        <w:numPr>
          <w:ilvl w:val="0"/>
          <w:numId w:val="14"/>
        </w:numPr>
        <w:tabs>
          <w:tab w:val="left" w:pos="360"/>
        </w:tabs>
        <w:rPr>
          <w:rFonts w:ascii="Cambria" w:hAnsi="Cambria"/>
          <w:i/>
          <w:iCs/>
          <w:sz w:val="24"/>
          <w:szCs w:val="24"/>
          <w:u w:val="single"/>
        </w:rPr>
      </w:pPr>
      <w:r>
        <w:rPr>
          <w:rFonts w:ascii="Bahnschrift SemiLight" w:hAnsi="Bahnschrift SemiLight"/>
          <w:sz w:val="24"/>
          <w:szCs w:val="24"/>
        </w:rPr>
        <w:t>EWS states the following regarding the TWC 10% fiscal integrity requirement:</w:t>
      </w:r>
      <w:r w:rsidRPr="00205539">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w:t>
      </w:r>
      <w:r w:rsidRPr="00205539">
        <w:rPr>
          <w:rFonts w:ascii="Cambria" w:eastAsia="Times New Roman" w:hAnsi="Cambria" w:cs="Times New Roman"/>
          <w:i/>
          <w:iCs/>
          <w:color w:val="000000"/>
          <w:sz w:val="24"/>
          <w:szCs w:val="24"/>
          <w:u w:val="single"/>
        </w:rPr>
        <w:t>N/A – Cost reimbursable contract and Equus does not drawn down Federal funds nor requires advances from the Board</w:t>
      </w:r>
      <w:r>
        <w:rPr>
          <w:rFonts w:ascii="Cambria" w:eastAsia="Times New Roman" w:hAnsi="Cambria" w:cs="Times New Roman"/>
          <w:i/>
          <w:iCs/>
          <w:color w:val="000000"/>
          <w:sz w:val="24"/>
          <w:szCs w:val="24"/>
          <w:u w:val="single"/>
        </w:rPr>
        <w:t>”</w:t>
      </w:r>
    </w:p>
    <w:p w14:paraId="3AAB5093" w14:textId="03F683A8" w:rsidR="00B61598" w:rsidRPr="00205539" w:rsidRDefault="00B61598" w:rsidP="00B61598">
      <w:pPr>
        <w:pStyle w:val="NoSpacing"/>
        <w:numPr>
          <w:ilvl w:val="0"/>
          <w:numId w:val="14"/>
        </w:numPr>
        <w:tabs>
          <w:tab w:val="left" w:pos="360"/>
        </w:tabs>
        <w:rPr>
          <w:rFonts w:ascii="Bahnschrift SemiLight" w:hAnsi="Bahnschrift SemiLight"/>
          <w:sz w:val="16"/>
          <w:szCs w:val="16"/>
        </w:rPr>
      </w:pPr>
      <w:r w:rsidRPr="00205539">
        <w:rPr>
          <w:rFonts w:ascii="Bahnschrift SemiLight" w:hAnsi="Bahnschrift SemiLight"/>
          <w:sz w:val="24"/>
          <w:szCs w:val="24"/>
        </w:rPr>
        <w:t xml:space="preserve">The </w:t>
      </w:r>
      <w:r w:rsidR="00D5022B">
        <w:rPr>
          <w:rFonts w:ascii="Bahnschrift SemiLight" w:hAnsi="Bahnschrift SemiLight"/>
          <w:sz w:val="24"/>
          <w:szCs w:val="24"/>
        </w:rPr>
        <w:t>EWS</w:t>
      </w:r>
      <w:r w:rsidRPr="00205539">
        <w:rPr>
          <w:rFonts w:ascii="Bahnschrift SemiLight" w:hAnsi="Bahnschrift SemiLight"/>
          <w:sz w:val="24"/>
          <w:szCs w:val="24"/>
        </w:rPr>
        <w:t xml:space="preserve"> FIRA indicates an </w:t>
      </w:r>
      <w:r w:rsidRPr="00205539">
        <w:rPr>
          <w:rFonts w:asciiTheme="majorHAnsi" w:hAnsiTheme="majorHAnsi"/>
          <w:i/>
          <w:iCs/>
          <w:sz w:val="24"/>
          <w:szCs w:val="24"/>
        </w:rPr>
        <w:t>anticipated</w:t>
      </w:r>
      <w:r w:rsidRPr="00205539">
        <w:rPr>
          <w:rFonts w:ascii="Bahnschrift SemiLight" w:hAnsi="Bahnschrift SemiLight"/>
          <w:sz w:val="24"/>
          <w:szCs w:val="24"/>
        </w:rPr>
        <w:t xml:space="preserve"> </w:t>
      </w:r>
      <w:r w:rsidRPr="00205539">
        <w:rPr>
          <w:rFonts w:asciiTheme="majorHAnsi" w:hAnsiTheme="majorHAnsi"/>
          <w:i/>
          <w:iCs/>
          <w:sz w:val="24"/>
          <w:szCs w:val="24"/>
        </w:rPr>
        <w:t>indirect cost budget</w:t>
      </w:r>
      <w:r w:rsidRPr="00205539">
        <w:rPr>
          <w:rFonts w:ascii="Bahnschrift SemiLight" w:hAnsi="Bahnschrift SemiLight"/>
          <w:sz w:val="24"/>
          <w:szCs w:val="24"/>
        </w:rPr>
        <w:t xml:space="preserve"> in the amount of </w:t>
      </w:r>
      <w:r w:rsidRPr="00205539">
        <w:rPr>
          <w:rFonts w:asciiTheme="majorHAnsi" w:hAnsiTheme="majorHAnsi"/>
          <w:i/>
          <w:iCs/>
          <w:sz w:val="24"/>
          <w:szCs w:val="24"/>
        </w:rPr>
        <w:t>$1</w:t>
      </w:r>
      <w:r>
        <w:rPr>
          <w:rFonts w:asciiTheme="majorHAnsi" w:hAnsiTheme="majorHAnsi"/>
          <w:i/>
          <w:iCs/>
          <w:sz w:val="24"/>
          <w:szCs w:val="24"/>
        </w:rPr>
        <w:t>78</w:t>
      </w:r>
      <w:r w:rsidRPr="00205539">
        <w:rPr>
          <w:rFonts w:asciiTheme="majorHAnsi" w:hAnsiTheme="majorHAnsi"/>
          <w:i/>
          <w:iCs/>
          <w:sz w:val="24"/>
          <w:szCs w:val="24"/>
        </w:rPr>
        <w:t>,97</w:t>
      </w:r>
      <w:r>
        <w:rPr>
          <w:rFonts w:asciiTheme="majorHAnsi" w:hAnsiTheme="majorHAnsi"/>
          <w:i/>
          <w:iCs/>
          <w:sz w:val="24"/>
          <w:szCs w:val="24"/>
        </w:rPr>
        <w:t>7</w:t>
      </w:r>
      <w:r w:rsidRPr="00205539">
        <w:rPr>
          <w:rFonts w:asciiTheme="majorHAnsi" w:hAnsiTheme="majorHAnsi"/>
          <w:i/>
          <w:iCs/>
          <w:sz w:val="24"/>
          <w:szCs w:val="24"/>
        </w:rPr>
        <w:t xml:space="preserve">.  </w:t>
      </w:r>
    </w:p>
    <w:p w14:paraId="593EF2E3" w14:textId="77777777" w:rsidR="00B61598" w:rsidRPr="00205539" w:rsidRDefault="00B61598" w:rsidP="00B61598">
      <w:pPr>
        <w:pStyle w:val="NoSpacing"/>
        <w:tabs>
          <w:tab w:val="left" w:pos="360"/>
        </w:tabs>
        <w:ind w:left="720"/>
        <w:rPr>
          <w:rFonts w:ascii="Bahnschrift SemiLight" w:hAnsi="Bahnschrift SemiLight"/>
          <w:sz w:val="16"/>
          <w:szCs w:val="16"/>
        </w:rPr>
      </w:pPr>
    </w:p>
    <w:p w14:paraId="5EF8E659" w14:textId="77777777" w:rsidR="00B61598" w:rsidRPr="00205539" w:rsidRDefault="00B61598" w:rsidP="00B61598">
      <w:pPr>
        <w:pStyle w:val="NoSpacing"/>
        <w:numPr>
          <w:ilvl w:val="0"/>
          <w:numId w:val="13"/>
        </w:numPr>
        <w:ind w:left="360"/>
        <w:rPr>
          <w:rFonts w:ascii="Bahnschrift SemiLight" w:hAnsi="Bahnschrift SemiLight"/>
          <w:sz w:val="16"/>
          <w:szCs w:val="16"/>
        </w:rPr>
      </w:pPr>
      <w:r w:rsidRPr="00DA6C93">
        <w:rPr>
          <w:rFonts w:ascii="Cambria" w:hAnsi="Cambria"/>
          <w:b/>
          <w:bCs/>
          <w:sz w:val="24"/>
          <w:szCs w:val="24"/>
        </w:rPr>
        <w:t>Current Contract</w:t>
      </w:r>
      <w:r w:rsidRPr="00205539">
        <w:rPr>
          <w:rFonts w:ascii="Bahnschrift SemiLight" w:hAnsi="Bahnschrift SemiLight"/>
          <w:sz w:val="24"/>
          <w:szCs w:val="24"/>
        </w:rPr>
        <w:t xml:space="preserve">: </w:t>
      </w:r>
      <w:r w:rsidRPr="00205539">
        <w:rPr>
          <w:rFonts w:ascii="Bahnschrift SemiLight" w:hAnsi="Bahnschrift SemiLight"/>
          <w:sz w:val="24"/>
          <w:szCs w:val="24"/>
          <w:u w:val="single"/>
        </w:rPr>
        <w:t xml:space="preserve">EWS provided the following: </w:t>
      </w:r>
    </w:p>
    <w:p w14:paraId="0DA9D627" w14:textId="77777777" w:rsidR="00B61598" w:rsidRPr="00BD576A" w:rsidRDefault="00B61598" w:rsidP="00B61598">
      <w:pPr>
        <w:pStyle w:val="ListParagraph"/>
        <w:numPr>
          <w:ilvl w:val="0"/>
          <w:numId w:val="49"/>
        </w:numPr>
        <w:rPr>
          <w:rFonts w:ascii="Cambria" w:hAnsi="Cambria" w:cs="Calibri"/>
          <w:color w:val="000000"/>
          <w:sz w:val="22"/>
          <w:szCs w:val="22"/>
        </w:rPr>
      </w:pPr>
      <w:r w:rsidRPr="00BD576A">
        <w:rPr>
          <w:rFonts w:ascii="Cambria" w:hAnsi="Cambria" w:cs="Calibri"/>
          <w:color w:val="000000"/>
          <w:sz w:val="22"/>
          <w:szCs w:val="22"/>
        </w:rPr>
        <w:t>Contract No. 2021-005 WFC; Period: 10/1/21 – 9/30/22; Contract Amount: $2,000,000.00</w:t>
      </w:r>
    </w:p>
    <w:p w14:paraId="47894646" w14:textId="77777777" w:rsidR="00B61598" w:rsidRPr="00BD576A" w:rsidRDefault="00B61598" w:rsidP="00B61598">
      <w:pPr>
        <w:pStyle w:val="ListParagraph"/>
        <w:numPr>
          <w:ilvl w:val="0"/>
          <w:numId w:val="49"/>
        </w:numPr>
        <w:rPr>
          <w:rFonts w:ascii="Cambria" w:hAnsi="Cambria" w:cs="Calibri"/>
          <w:color w:val="000000"/>
          <w:sz w:val="22"/>
          <w:szCs w:val="22"/>
        </w:rPr>
      </w:pPr>
      <w:r w:rsidRPr="00BD576A">
        <w:rPr>
          <w:rFonts w:ascii="Cambria" w:hAnsi="Cambria" w:cs="Calibri"/>
          <w:color w:val="000000"/>
          <w:sz w:val="22"/>
          <w:szCs w:val="22"/>
        </w:rPr>
        <w:t>Contract No. 2021-005 WFC, Amend 2022-1; Date: 1/19/22; Amount: $2,599,925.04</w:t>
      </w:r>
    </w:p>
    <w:p w14:paraId="7859B66E" w14:textId="77777777" w:rsidR="00B61598" w:rsidRPr="00BD576A" w:rsidRDefault="00B61598" w:rsidP="00B61598">
      <w:pPr>
        <w:pStyle w:val="ListParagraph"/>
        <w:numPr>
          <w:ilvl w:val="0"/>
          <w:numId w:val="49"/>
        </w:numPr>
        <w:rPr>
          <w:rFonts w:ascii="Cambria" w:hAnsi="Cambria" w:cs="Calibri"/>
          <w:color w:val="000000"/>
          <w:sz w:val="22"/>
          <w:szCs w:val="22"/>
        </w:rPr>
      </w:pPr>
      <w:r w:rsidRPr="00BD576A">
        <w:rPr>
          <w:rFonts w:ascii="Cambria" w:hAnsi="Cambria" w:cs="Calibri"/>
          <w:color w:val="000000"/>
          <w:sz w:val="22"/>
          <w:szCs w:val="22"/>
        </w:rPr>
        <w:t>Contract No. 2021-005 WFC, Amend 2022-2; Date: 3/11/22; Amount: $2,679,925.04</w:t>
      </w:r>
    </w:p>
    <w:p w14:paraId="24B89359" w14:textId="77777777" w:rsidR="00B61598" w:rsidRPr="00BD576A" w:rsidRDefault="00B61598" w:rsidP="00B61598">
      <w:pPr>
        <w:pStyle w:val="ListParagraph"/>
        <w:numPr>
          <w:ilvl w:val="0"/>
          <w:numId w:val="49"/>
        </w:numPr>
        <w:rPr>
          <w:rFonts w:ascii="Cambria" w:hAnsi="Cambria" w:cs="Calibri"/>
          <w:color w:val="000000"/>
          <w:sz w:val="22"/>
          <w:szCs w:val="22"/>
        </w:rPr>
      </w:pPr>
      <w:r w:rsidRPr="00BD576A">
        <w:rPr>
          <w:rFonts w:ascii="Cambria" w:hAnsi="Cambria" w:cs="Calibri"/>
          <w:color w:val="000000"/>
          <w:sz w:val="22"/>
          <w:szCs w:val="22"/>
        </w:rPr>
        <w:t>Contract No. 2021-005 WFC, Amend 2022-3; Date: 3/25/22; Amount: $2,735,519.22</w:t>
      </w:r>
    </w:p>
    <w:p w14:paraId="57F97AB2" w14:textId="77777777" w:rsidR="00B61598" w:rsidRPr="00BD576A" w:rsidRDefault="00B61598" w:rsidP="00B61598">
      <w:pPr>
        <w:pStyle w:val="ListParagraph"/>
        <w:numPr>
          <w:ilvl w:val="0"/>
          <w:numId w:val="49"/>
        </w:numPr>
        <w:rPr>
          <w:rFonts w:ascii="Cambria" w:hAnsi="Cambria" w:cs="Calibri"/>
          <w:color w:val="000000"/>
          <w:sz w:val="22"/>
          <w:szCs w:val="22"/>
        </w:rPr>
      </w:pPr>
      <w:r w:rsidRPr="00BD576A">
        <w:rPr>
          <w:rFonts w:ascii="Cambria" w:hAnsi="Cambria" w:cs="Calibri"/>
          <w:color w:val="000000"/>
          <w:sz w:val="22"/>
          <w:szCs w:val="22"/>
        </w:rPr>
        <w:t>Contract No. 2021-005 WFC, Amend 2022-4; Date: 5/27/22; Amount: $2,735,519.22</w:t>
      </w:r>
    </w:p>
    <w:p w14:paraId="18E4F5CE" w14:textId="77777777" w:rsidR="00B61598" w:rsidRPr="00BD576A" w:rsidRDefault="00B61598" w:rsidP="00B61598">
      <w:pPr>
        <w:pStyle w:val="ListParagraph"/>
        <w:numPr>
          <w:ilvl w:val="0"/>
          <w:numId w:val="49"/>
        </w:numPr>
        <w:rPr>
          <w:rFonts w:ascii="Cambria" w:hAnsi="Cambria" w:cs="Calibri"/>
          <w:color w:val="000000"/>
          <w:sz w:val="22"/>
          <w:szCs w:val="22"/>
        </w:rPr>
      </w:pPr>
      <w:r w:rsidRPr="00BD576A">
        <w:rPr>
          <w:rFonts w:ascii="Cambria" w:hAnsi="Cambria" w:cs="Calibri"/>
          <w:color w:val="000000"/>
          <w:sz w:val="22"/>
          <w:szCs w:val="22"/>
        </w:rPr>
        <w:t>Contract No. 2021-005 WFC, Amend 2022-5; Date: 6/13/22; Amount: $2,806,488.22</w:t>
      </w:r>
    </w:p>
    <w:p w14:paraId="22B68BF9" w14:textId="77777777" w:rsidR="00B61598" w:rsidRDefault="00B61598" w:rsidP="00B61598">
      <w:pPr>
        <w:pStyle w:val="NoSpacing"/>
        <w:ind w:left="720"/>
        <w:rPr>
          <w:rFonts w:ascii="Bahnschrift SemiLight" w:hAnsi="Bahnschrift SemiLight"/>
          <w:sz w:val="16"/>
          <w:szCs w:val="16"/>
        </w:rPr>
      </w:pPr>
    </w:p>
    <w:p w14:paraId="50248268" w14:textId="77777777" w:rsidR="00B61598" w:rsidRDefault="00B61598" w:rsidP="00B61598">
      <w:pPr>
        <w:pStyle w:val="NoSpacing"/>
        <w:numPr>
          <w:ilvl w:val="0"/>
          <w:numId w:val="13"/>
        </w:numPr>
        <w:ind w:left="450" w:hanging="450"/>
        <w:rPr>
          <w:rFonts w:ascii="Bahnschrift SemiLight" w:hAnsi="Bahnschrift SemiLight"/>
          <w:sz w:val="24"/>
          <w:szCs w:val="24"/>
        </w:rPr>
      </w:pPr>
      <w:r w:rsidRPr="00DA6C93">
        <w:rPr>
          <w:rFonts w:ascii="Cambria" w:hAnsi="Cambria"/>
          <w:b/>
          <w:bCs/>
          <w:sz w:val="24"/>
          <w:szCs w:val="24"/>
        </w:rPr>
        <w:t>Audit Reports</w:t>
      </w:r>
      <w:r>
        <w:rPr>
          <w:rFonts w:ascii="Bahnschrift SemiLight" w:hAnsi="Bahnschrift SemiLight"/>
          <w:sz w:val="24"/>
          <w:szCs w:val="24"/>
        </w:rPr>
        <w:t xml:space="preserve">: EWS provided the following audit reports/documents: </w:t>
      </w:r>
    </w:p>
    <w:p w14:paraId="23ABBD67" w14:textId="77777777" w:rsidR="00B61598" w:rsidRPr="00371246" w:rsidRDefault="00B61598" w:rsidP="00B61598">
      <w:pPr>
        <w:pStyle w:val="ListParagraph"/>
        <w:numPr>
          <w:ilvl w:val="0"/>
          <w:numId w:val="33"/>
        </w:numPr>
        <w:rPr>
          <w:rFonts w:ascii="Cambria" w:hAnsi="Cambria" w:cs="Calibri"/>
          <w:i/>
          <w:iCs/>
          <w:color w:val="000000"/>
        </w:rPr>
      </w:pPr>
      <w:r w:rsidRPr="00371246">
        <w:rPr>
          <w:rFonts w:ascii="Cambria" w:hAnsi="Cambria" w:cs="Calibri"/>
          <w:i/>
          <w:iCs/>
          <w:color w:val="000000"/>
        </w:rPr>
        <w:t xml:space="preserve">FY2020 Final Indirect Cost Rates Schedule, Independent Auditor’s Report </w:t>
      </w:r>
      <w:r>
        <w:rPr>
          <w:rFonts w:ascii="Cambria" w:hAnsi="Cambria" w:cs="Calibri"/>
          <w:i/>
          <w:iCs/>
          <w:color w:val="000000"/>
        </w:rPr>
        <w:t>f</w:t>
      </w:r>
      <w:r w:rsidRPr="00371246">
        <w:rPr>
          <w:rFonts w:ascii="Cambria" w:hAnsi="Cambria" w:cs="Calibri"/>
          <w:i/>
          <w:iCs/>
          <w:color w:val="000000"/>
        </w:rPr>
        <w:t>or the Fiscal Year Ended December 31, 2020; Audited By: ML Weekes &amp; Company, PC; Date: 7/12/21</w:t>
      </w:r>
    </w:p>
    <w:p w14:paraId="0E8DE84B" w14:textId="77777777" w:rsidR="00B61598" w:rsidRPr="00371246" w:rsidRDefault="00B61598" w:rsidP="00B61598">
      <w:pPr>
        <w:pStyle w:val="ListParagraph"/>
        <w:numPr>
          <w:ilvl w:val="0"/>
          <w:numId w:val="33"/>
        </w:numPr>
        <w:rPr>
          <w:rFonts w:ascii="Cambria" w:hAnsi="Cambria" w:cs="Calibri"/>
          <w:i/>
          <w:iCs/>
          <w:color w:val="000000"/>
        </w:rPr>
      </w:pPr>
      <w:r w:rsidRPr="00371246">
        <w:rPr>
          <w:rFonts w:ascii="Cambria" w:hAnsi="Cambria" w:cs="Calibri"/>
          <w:i/>
          <w:iCs/>
          <w:color w:val="000000"/>
        </w:rPr>
        <w:t>Information and Report of Independent Auditors on the Schedule of Expenditures of Federal Awards, For the Fiscal Year Ended December 31, 2020; Audited By: ML Weekes &amp; Company, PC; Date:7/12/21</w:t>
      </w:r>
    </w:p>
    <w:p w14:paraId="751550D9" w14:textId="77777777" w:rsidR="00B61598" w:rsidRPr="00371246" w:rsidRDefault="00B61598" w:rsidP="00B61598">
      <w:pPr>
        <w:pStyle w:val="ListParagraph"/>
        <w:numPr>
          <w:ilvl w:val="0"/>
          <w:numId w:val="33"/>
        </w:numPr>
        <w:rPr>
          <w:rFonts w:ascii="Cambria" w:hAnsi="Cambria" w:cs="Calibri"/>
          <w:i/>
          <w:iCs/>
          <w:color w:val="000000"/>
        </w:rPr>
      </w:pPr>
      <w:r w:rsidRPr="00371246">
        <w:rPr>
          <w:rFonts w:ascii="Cambria" w:hAnsi="Cambria" w:cs="Calibri"/>
          <w:i/>
          <w:iCs/>
          <w:color w:val="000000"/>
        </w:rPr>
        <w:t>FY2021 Provisional Indirect Cost Rates Schedule, Independent Accountant’s Report for the Fiscal Year Ended December 31, 2021; Audited By: ML Weekes &amp; Company, PC; Date: 7/12/21</w:t>
      </w:r>
    </w:p>
    <w:p w14:paraId="4DCB793C" w14:textId="77777777" w:rsidR="00B61598" w:rsidRPr="003B7282" w:rsidRDefault="00B61598" w:rsidP="00B61598">
      <w:pPr>
        <w:ind w:left="360"/>
        <w:rPr>
          <w:rFonts w:ascii="Cambria" w:hAnsi="Cambria" w:cs="Calibri"/>
          <w:i/>
          <w:iCs/>
          <w:color w:val="000000"/>
        </w:rPr>
      </w:pPr>
    </w:p>
    <w:p w14:paraId="11F6DBED" w14:textId="77777777" w:rsidR="00B61598" w:rsidRPr="00371246" w:rsidRDefault="00B61598" w:rsidP="00B61598">
      <w:pPr>
        <w:pStyle w:val="NoSpacing"/>
        <w:ind w:left="720"/>
        <w:rPr>
          <w:rFonts w:ascii="Bahnschrift SemiLight" w:hAnsi="Bahnschrift SemiLight"/>
          <w:sz w:val="24"/>
          <w:szCs w:val="24"/>
        </w:rPr>
      </w:pPr>
    </w:p>
    <w:p w14:paraId="465FC081" w14:textId="77777777" w:rsidR="00B61598" w:rsidRDefault="00B61598" w:rsidP="00B61598">
      <w:pPr>
        <w:pStyle w:val="NoSpacing"/>
        <w:rPr>
          <w:rFonts w:asciiTheme="majorHAnsi" w:hAnsiTheme="majorHAnsi"/>
          <w:i/>
          <w:iCs/>
          <w:sz w:val="24"/>
          <w:szCs w:val="24"/>
        </w:rPr>
      </w:pPr>
    </w:p>
    <w:p w14:paraId="6268F18C" w14:textId="77777777" w:rsidR="00B61598" w:rsidRPr="00631503" w:rsidRDefault="00B61598" w:rsidP="00B61598">
      <w:pPr>
        <w:pStyle w:val="NoSpacing"/>
        <w:numPr>
          <w:ilvl w:val="0"/>
          <w:numId w:val="13"/>
        </w:numPr>
        <w:ind w:left="450" w:hanging="450"/>
        <w:rPr>
          <w:rFonts w:ascii="Bahnschrift SemiLight" w:eastAsia="Times New Roman" w:hAnsi="Bahnschrift SemiLight"/>
          <w:sz w:val="24"/>
          <w:szCs w:val="24"/>
        </w:rPr>
      </w:pPr>
      <w:r w:rsidRPr="00DA6C93">
        <w:rPr>
          <w:rFonts w:ascii="Cambria" w:hAnsi="Cambria"/>
          <w:b/>
          <w:bCs/>
          <w:sz w:val="24"/>
          <w:szCs w:val="24"/>
        </w:rPr>
        <w:lastRenderedPageBreak/>
        <w:t>Organization Chart</w:t>
      </w:r>
      <w:r w:rsidRPr="00631503">
        <w:rPr>
          <w:rFonts w:ascii="Bahnschrift SemiLight" w:hAnsi="Bahnschrift SemiLight"/>
          <w:sz w:val="24"/>
          <w:szCs w:val="24"/>
        </w:rPr>
        <w:t xml:space="preserve">:  The </w:t>
      </w:r>
      <w:r>
        <w:rPr>
          <w:rFonts w:ascii="Bahnschrift SemiLight" w:hAnsi="Bahnschrift SemiLight"/>
          <w:sz w:val="24"/>
          <w:szCs w:val="24"/>
        </w:rPr>
        <w:t xml:space="preserve">EWS </w:t>
      </w:r>
      <w:r w:rsidRPr="003B7282">
        <w:rPr>
          <w:rFonts w:asciiTheme="majorHAnsi" w:hAnsiTheme="majorHAnsi"/>
          <w:i/>
          <w:iCs/>
          <w:sz w:val="24"/>
          <w:szCs w:val="24"/>
        </w:rPr>
        <w:t>North Texas Organizational Chart</w:t>
      </w:r>
      <w:r>
        <w:rPr>
          <w:rFonts w:ascii="Bahnschrift SemiLight" w:hAnsi="Bahnschrift SemiLight"/>
          <w:sz w:val="24"/>
          <w:szCs w:val="24"/>
        </w:rPr>
        <w:t xml:space="preserve"> </w:t>
      </w:r>
      <w:r w:rsidRPr="00631503">
        <w:rPr>
          <w:rFonts w:ascii="Bahnschrift SemiLight" w:eastAsia="Times New Roman" w:hAnsi="Bahnschrift SemiLight"/>
          <w:sz w:val="24"/>
          <w:szCs w:val="24"/>
        </w:rPr>
        <w:t xml:space="preserve">dated </w:t>
      </w:r>
      <w:r>
        <w:rPr>
          <w:rFonts w:ascii="Bahnschrift SemiLight" w:eastAsia="Times New Roman" w:hAnsi="Bahnschrift SemiLight"/>
          <w:sz w:val="24"/>
          <w:szCs w:val="24"/>
        </w:rPr>
        <w:t>June 23, 2022.</w:t>
      </w:r>
    </w:p>
    <w:p w14:paraId="6F077C25" w14:textId="77777777" w:rsidR="00B61598" w:rsidRPr="00317011" w:rsidRDefault="00B61598" w:rsidP="00B61598">
      <w:pPr>
        <w:pStyle w:val="NoSpacing"/>
        <w:rPr>
          <w:rFonts w:ascii="Bahnschrift SemiLight" w:hAnsi="Bahnschrift SemiLight"/>
          <w:sz w:val="16"/>
          <w:szCs w:val="16"/>
        </w:rPr>
      </w:pPr>
    </w:p>
    <w:p w14:paraId="0D32940D" w14:textId="77777777" w:rsidR="00B61598" w:rsidRPr="003B7282" w:rsidRDefault="00B61598" w:rsidP="00B61598">
      <w:pPr>
        <w:pStyle w:val="NoSpacing"/>
        <w:numPr>
          <w:ilvl w:val="0"/>
          <w:numId w:val="13"/>
        </w:numPr>
        <w:ind w:left="450" w:hanging="450"/>
        <w:rPr>
          <w:rFonts w:ascii="Bahnschrift SemiLight" w:hAnsi="Bahnschrift SemiLight"/>
          <w:sz w:val="16"/>
          <w:szCs w:val="16"/>
        </w:rPr>
      </w:pPr>
      <w:r w:rsidRPr="00DA6C93">
        <w:rPr>
          <w:rFonts w:ascii="Cambria" w:hAnsi="Cambria"/>
          <w:b/>
          <w:bCs/>
          <w:sz w:val="24"/>
          <w:szCs w:val="24"/>
        </w:rPr>
        <w:t>Cost Allocation Plan</w:t>
      </w:r>
      <w:r w:rsidRPr="003B7282">
        <w:rPr>
          <w:rFonts w:asciiTheme="majorHAnsi" w:hAnsiTheme="majorHAnsi"/>
          <w:sz w:val="24"/>
          <w:szCs w:val="24"/>
        </w:rPr>
        <w:t xml:space="preserve">:  </w:t>
      </w:r>
      <w:r w:rsidRPr="003B7282">
        <w:rPr>
          <w:rFonts w:ascii="Bahnschrift SemiLight" w:hAnsi="Bahnschrift SemiLight"/>
          <w:sz w:val="24"/>
          <w:szCs w:val="24"/>
        </w:rPr>
        <w:t xml:space="preserve">The </w:t>
      </w:r>
      <w:r>
        <w:rPr>
          <w:rFonts w:ascii="Bahnschrift SemiLight" w:hAnsi="Bahnschrift SemiLight"/>
          <w:sz w:val="24"/>
          <w:szCs w:val="24"/>
        </w:rPr>
        <w:t>“</w:t>
      </w:r>
      <w:r w:rsidRPr="003B7282">
        <w:rPr>
          <w:rFonts w:asciiTheme="majorHAnsi" w:hAnsiTheme="majorHAnsi"/>
          <w:i/>
          <w:iCs/>
          <w:sz w:val="24"/>
          <w:szCs w:val="24"/>
        </w:rPr>
        <w:t>Equus Workforce Solutions Cost Allocation Plan for Contracts with the North Texas Workforce Development Board</w:t>
      </w:r>
      <w:r>
        <w:rPr>
          <w:rFonts w:ascii="Bahnschrift SemiLight" w:hAnsi="Bahnschrift SemiLight"/>
          <w:sz w:val="24"/>
          <w:szCs w:val="24"/>
        </w:rPr>
        <w:t xml:space="preserve">” for the period October 1, 2021 through September 30, 2022. The plan was signed by the </w:t>
      </w:r>
      <w:r w:rsidRPr="003B7282">
        <w:rPr>
          <w:rFonts w:ascii="Cambria" w:hAnsi="Cambria"/>
          <w:i/>
          <w:iCs/>
          <w:sz w:val="24"/>
          <w:szCs w:val="24"/>
        </w:rPr>
        <w:t xml:space="preserve">Director of Revenue Cycle </w:t>
      </w:r>
      <w:r>
        <w:rPr>
          <w:rFonts w:ascii="Bahnschrift SemiLight" w:hAnsi="Bahnschrift SemiLight"/>
          <w:sz w:val="24"/>
          <w:szCs w:val="24"/>
        </w:rPr>
        <w:t>on November 19, 2021. Additionally, EWS provided the following:</w:t>
      </w:r>
    </w:p>
    <w:p w14:paraId="68666CE5" w14:textId="77777777" w:rsidR="00B61598" w:rsidRPr="00440AC7" w:rsidRDefault="00B61598" w:rsidP="00B61598">
      <w:pPr>
        <w:pStyle w:val="NoSpacing"/>
        <w:numPr>
          <w:ilvl w:val="0"/>
          <w:numId w:val="34"/>
        </w:numPr>
        <w:rPr>
          <w:rFonts w:ascii="Cambria" w:eastAsia="Times New Roman" w:hAnsi="Cambria"/>
          <w:i/>
          <w:iCs/>
          <w:sz w:val="24"/>
          <w:szCs w:val="24"/>
        </w:rPr>
      </w:pPr>
      <w:r w:rsidRPr="00440AC7">
        <w:rPr>
          <w:rFonts w:ascii="Cambria" w:eastAsia="Times New Roman" w:hAnsi="Cambria"/>
          <w:i/>
          <w:iCs/>
          <w:sz w:val="24"/>
          <w:szCs w:val="24"/>
        </w:rPr>
        <w:t>Final Indirect Cost Rates, For the Year Ended December 31, 2020</w:t>
      </w:r>
    </w:p>
    <w:p w14:paraId="3C6C738B" w14:textId="77777777" w:rsidR="00B61598" w:rsidRPr="00440AC7" w:rsidRDefault="00B61598" w:rsidP="00B61598">
      <w:pPr>
        <w:pStyle w:val="NoSpacing"/>
        <w:numPr>
          <w:ilvl w:val="0"/>
          <w:numId w:val="34"/>
        </w:numPr>
        <w:rPr>
          <w:rFonts w:ascii="Cambria" w:eastAsia="Times New Roman" w:hAnsi="Cambria"/>
          <w:i/>
          <w:iCs/>
          <w:sz w:val="24"/>
          <w:szCs w:val="24"/>
        </w:rPr>
      </w:pPr>
      <w:r w:rsidRPr="00440AC7">
        <w:rPr>
          <w:rFonts w:ascii="Cambria" w:eastAsia="Times New Roman" w:hAnsi="Cambria"/>
          <w:i/>
          <w:iCs/>
          <w:sz w:val="24"/>
          <w:szCs w:val="24"/>
        </w:rPr>
        <w:t>Provisional Indirect Cost Rates, For the Fiscal Year Ending December 31, 2021</w:t>
      </w:r>
    </w:p>
    <w:p w14:paraId="279979FC" w14:textId="77777777" w:rsidR="00B61598" w:rsidRPr="00440AC7" w:rsidRDefault="00B61598" w:rsidP="00B61598">
      <w:pPr>
        <w:pStyle w:val="NoSpacing"/>
        <w:numPr>
          <w:ilvl w:val="0"/>
          <w:numId w:val="34"/>
        </w:numPr>
        <w:rPr>
          <w:rFonts w:ascii="Cambria" w:eastAsia="Times New Roman" w:hAnsi="Cambria"/>
          <w:i/>
          <w:iCs/>
          <w:sz w:val="24"/>
          <w:szCs w:val="24"/>
        </w:rPr>
      </w:pPr>
      <w:r w:rsidRPr="00440AC7">
        <w:rPr>
          <w:rFonts w:ascii="Cambria" w:eastAsia="Times New Roman" w:hAnsi="Cambria"/>
          <w:i/>
          <w:iCs/>
          <w:sz w:val="24"/>
          <w:szCs w:val="24"/>
        </w:rPr>
        <w:t>Letter of Indirect Cost Rate</w:t>
      </w:r>
      <w:r>
        <w:rPr>
          <w:rFonts w:ascii="Cambria" w:eastAsia="Times New Roman" w:hAnsi="Cambria"/>
          <w:i/>
          <w:iCs/>
          <w:sz w:val="24"/>
          <w:szCs w:val="24"/>
        </w:rPr>
        <w:t xml:space="preserve"> percentage</w:t>
      </w:r>
      <w:r w:rsidRPr="00440AC7">
        <w:rPr>
          <w:rFonts w:ascii="Cambria" w:eastAsia="Times New Roman" w:hAnsi="Cambria"/>
          <w:i/>
          <w:iCs/>
          <w:sz w:val="24"/>
          <w:szCs w:val="24"/>
        </w:rPr>
        <w:t xml:space="preserve">; Date: </w:t>
      </w:r>
      <w:r>
        <w:rPr>
          <w:rFonts w:ascii="Cambria" w:eastAsia="Times New Roman" w:hAnsi="Cambria"/>
          <w:i/>
          <w:iCs/>
          <w:sz w:val="24"/>
          <w:szCs w:val="24"/>
        </w:rPr>
        <w:t xml:space="preserve">July </w:t>
      </w:r>
      <w:r w:rsidRPr="00440AC7">
        <w:rPr>
          <w:rFonts w:ascii="Cambria" w:eastAsia="Times New Roman" w:hAnsi="Cambria"/>
          <w:i/>
          <w:iCs/>
          <w:sz w:val="24"/>
          <w:szCs w:val="24"/>
        </w:rPr>
        <w:t>15</w:t>
      </w:r>
      <w:r>
        <w:rPr>
          <w:rFonts w:ascii="Cambria" w:eastAsia="Times New Roman" w:hAnsi="Cambria"/>
          <w:i/>
          <w:iCs/>
          <w:sz w:val="24"/>
          <w:szCs w:val="24"/>
        </w:rPr>
        <w:t>, 20</w:t>
      </w:r>
      <w:r w:rsidRPr="00440AC7">
        <w:rPr>
          <w:rFonts w:ascii="Cambria" w:eastAsia="Times New Roman" w:hAnsi="Cambria"/>
          <w:i/>
          <w:iCs/>
          <w:sz w:val="24"/>
          <w:szCs w:val="24"/>
        </w:rPr>
        <w:t>21</w:t>
      </w:r>
    </w:p>
    <w:p w14:paraId="45E96DE5" w14:textId="77777777" w:rsidR="00B61598" w:rsidRPr="00FD7D81" w:rsidRDefault="00B61598" w:rsidP="00B61598">
      <w:pPr>
        <w:pStyle w:val="NoSpacing"/>
        <w:numPr>
          <w:ilvl w:val="0"/>
          <w:numId w:val="34"/>
        </w:numPr>
        <w:rPr>
          <w:rFonts w:ascii="Bahnschrift SemiLight" w:hAnsi="Bahnschrift SemiLight"/>
          <w:sz w:val="16"/>
          <w:szCs w:val="16"/>
        </w:rPr>
      </w:pPr>
      <w:r w:rsidRPr="00FD7D81">
        <w:rPr>
          <w:rFonts w:ascii="Cambria" w:eastAsia="Times New Roman" w:hAnsi="Cambria"/>
          <w:i/>
          <w:iCs/>
          <w:sz w:val="24"/>
          <w:szCs w:val="24"/>
        </w:rPr>
        <w:t xml:space="preserve">FY2021 Provisional Indirect Cost Rates Schedule, Independent Accountant’s Report for the Fiscal Year Ended December 31, 2021; Audited By: ML Weekes &amp; Company, PC; Date: </w:t>
      </w:r>
      <w:r>
        <w:rPr>
          <w:rFonts w:ascii="Cambria" w:eastAsia="Times New Roman" w:hAnsi="Cambria"/>
          <w:i/>
          <w:iCs/>
          <w:sz w:val="24"/>
          <w:szCs w:val="24"/>
        </w:rPr>
        <w:t xml:space="preserve">July </w:t>
      </w:r>
      <w:r w:rsidRPr="00440AC7">
        <w:rPr>
          <w:rFonts w:ascii="Cambria" w:eastAsia="Times New Roman" w:hAnsi="Cambria"/>
          <w:i/>
          <w:iCs/>
          <w:sz w:val="24"/>
          <w:szCs w:val="24"/>
        </w:rPr>
        <w:t>1</w:t>
      </w:r>
      <w:r>
        <w:rPr>
          <w:rFonts w:ascii="Cambria" w:eastAsia="Times New Roman" w:hAnsi="Cambria"/>
          <w:i/>
          <w:iCs/>
          <w:sz w:val="24"/>
          <w:szCs w:val="24"/>
        </w:rPr>
        <w:t>2, 20</w:t>
      </w:r>
      <w:r w:rsidRPr="00440AC7">
        <w:rPr>
          <w:rFonts w:ascii="Cambria" w:eastAsia="Times New Roman" w:hAnsi="Cambria"/>
          <w:i/>
          <w:iCs/>
          <w:sz w:val="24"/>
          <w:szCs w:val="24"/>
        </w:rPr>
        <w:t>21</w:t>
      </w:r>
    </w:p>
    <w:p w14:paraId="2729D09F" w14:textId="77777777" w:rsidR="00B61598" w:rsidRPr="003B7282" w:rsidRDefault="00B61598" w:rsidP="00B61598">
      <w:pPr>
        <w:pStyle w:val="NoSpacing"/>
        <w:rPr>
          <w:rFonts w:ascii="Bahnschrift SemiLight" w:hAnsi="Bahnschrift SemiLight"/>
          <w:sz w:val="16"/>
          <w:szCs w:val="16"/>
        </w:rPr>
      </w:pPr>
    </w:p>
    <w:p w14:paraId="0A3522DB" w14:textId="77777777" w:rsidR="00B61598" w:rsidRPr="00A507E4" w:rsidRDefault="00B61598" w:rsidP="00B61598">
      <w:pPr>
        <w:pStyle w:val="NoSpacing"/>
        <w:numPr>
          <w:ilvl w:val="0"/>
          <w:numId w:val="13"/>
        </w:numPr>
        <w:ind w:left="450" w:hanging="450"/>
        <w:rPr>
          <w:rFonts w:ascii="Bahnschrift SemiLight" w:hAnsi="Bahnschrift SemiLight"/>
          <w:sz w:val="16"/>
          <w:szCs w:val="16"/>
        </w:rPr>
      </w:pPr>
      <w:r w:rsidRPr="00DA6C93">
        <w:rPr>
          <w:rFonts w:ascii="Cambria" w:hAnsi="Cambria"/>
          <w:b/>
          <w:bCs/>
          <w:sz w:val="24"/>
          <w:szCs w:val="24"/>
        </w:rPr>
        <w:t>Monitoring Reports</w:t>
      </w:r>
      <w:r w:rsidRPr="00A507E4">
        <w:rPr>
          <w:rFonts w:ascii="Bahnschrift SemiLight" w:hAnsi="Bahnschrift SemiLight"/>
          <w:b/>
          <w:bCs/>
          <w:sz w:val="24"/>
          <w:szCs w:val="24"/>
        </w:rPr>
        <w:t>:</w:t>
      </w:r>
      <w:r w:rsidRPr="00A507E4">
        <w:rPr>
          <w:rFonts w:ascii="Bahnschrift SemiLight" w:hAnsi="Bahnschrift SemiLight"/>
          <w:sz w:val="24"/>
          <w:szCs w:val="24"/>
        </w:rPr>
        <w:t xml:space="preserve"> The following monitoring reports were provided by EWS: </w:t>
      </w:r>
    </w:p>
    <w:p w14:paraId="3386DCCA" w14:textId="77777777" w:rsidR="00B61598" w:rsidRPr="00151050" w:rsidRDefault="00B61598" w:rsidP="00B61598">
      <w:pPr>
        <w:pStyle w:val="NoSpacing"/>
        <w:numPr>
          <w:ilvl w:val="0"/>
          <w:numId w:val="35"/>
        </w:numPr>
        <w:rPr>
          <w:rFonts w:ascii="Cambria" w:eastAsia="Times New Roman" w:hAnsi="Cambria"/>
          <w:i/>
          <w:iCs/>
          <w:sz w:val="24"/>
          <w:szCs w:val="24"/>
        </w:rPr>
      </w:pPr>
      <w:r w:rsidRPr="00151050">
        <w:rPr>
          <w:rFonts w:ascii="Cambria" w:eastAsia="Times New Roman" w:hAnsi="Cambria"/>
          <w:i/>
          <w:iCs/>
          <w:sz w:val="24"/>
          <w:szCs w:val="24"/>
        </w:rPr>
        <w:t>Choices Monitoring (2</w:t>
      </w:r>
      <w:bookmarkStart w:id="8" w:name="_Hlk83869046"/>
      <w:r w:rsidRPr="00151050">
        <w:rPr>
          <w:rFonts w:ascii="Cambria" w:eastAsia="Times New Roman" w:hAnsi="Cambria"/>
          <w:i/>
          <w:iCs/>
          <w:sz w:val="24"/>
          <w:szCs w:val="24"/>
        </w:rPr>
        <w:t>1 Monitoring Reviews for 2020 – 2021</w:t>
      </w:r>
      <w:bookmarkEnd w:id="8"/>
      <w:r w:rsidRPr="00151050">
        <w:rPr>
          <w:rFonts w:ascii="Cambria" w:eastAsia="Times New Roman" w:hAnsi="Cambria"/>
          <w:i/>
          <w:iCs/>
          <w:sz w:val="24"/>
          <w:szCs w:val="24"/>
        </w:rPr>
        <w:t>)</w:t>
      </w:r>
    </w:p>
    <w:p w14:paraId="57D0F1D2" w14:textId="77777777" w:rsidR="00B61598" w:rsidRPr="00151050" w:rsidRDefault="00B61598" w:rsidP="00B61598">
      <w:pPr>
        <w:pStyle w:val="NoSpacing"/>
        <w:numPr>
          <w:ilvl w:val="0"/>
          <w:numId w:val="35"/>
        </w:numPr>
        <w:rPr>
          <w:rFonts w:ascii="Cambria" w:eastAsia="Times New Roman" w:hAnsi="Cambria"/>
          <w:i/>
          <w:iCs/>
          <w:sz w:val="24"/>
          <w:szCs w:val="24"/>
        </w:rPr>
      </w:pPr>
      <w:r w:rsidRPr="00151050">
        <w:rPr>
          <w:rFonts w:ascii="Cambria" w:eastAsia="Times New Roman" w:hAnsi="Cambria"/>
          <w:i/>
          <w:iCs/>
          <w:sz w:val="24"/>
          <w:szCs w:val="24"/>
        </w:rPr>
        <w:t>-PII Review; Review Period: 5/13/21 – 6/8/21</w:t>
      </w:r>
    </w:p>
    <w:p w14:paraId="05D9E739" w14:textId="77777777" w:rsidR="00B61598" w:rsidRPr="00151050" w:rsidRDefault="00B61598" w:rsidP="00B61598">
      <w:pPr>
        <w:pStyle w:val="NoSpacing"/>
        <w:numPr>
          <w:ilvl w:val="0"/>
          <w:numId w:val="35"/>
        </w:numPr>
        <w:rPr>
          <w:rFonts w:ascii="Cambria" w:eastAsia="Times New Roman" w:hAnsi="Cambria"/>
          <w:i/>
          <w:iCs/>
          <w:sz w:val="24"/>
          <w:szCs w:val="24"/>
        </w:rPr>
      </w:pPr>
      <w:r w:rsidRPr="00151050">
        <w:rPr>
          <w:rFonts w:ascii="Cambria" w:eastAsia="Times New Roman" w:hAnsi="Cambria"/>
          <w:i/>
          <w:iCs/>
          <w:sz w:val="24"/>
          <w:szCs w:val="24"/>
        </w:rPr>
        <w:t>-Procurement Monitoring (16 Monitoring Reviews for 2020 – 2021)</w:t>
      </w:r>
    </w:p>
    <w:p w14:paraId="138838B2" w14:textId="77777777" w:rsidR="00B61598" w:rsidRPr="00151050" w:rsidRDefault="00B61598" w:rsidP="00B61598">
      <w:pPr>
        <w:pStyle w:val="NoSpacing"/>
        <w:numPr>
          <w:ilvl w:val="0"/>
          <w:numId w:val="35"/>
        </w:numPr>
        <w:rPr>
          <w:rFonts w:ascii="Cambria" w:eastAsia="Times New Roman" w:hAnsi="Cambria"/>
          <w:i/>
          <w:iCs/>
          <w:sz w:val="24"/>
          <w:szCs w:val="24"/>
        </w:rPr>
      </w:pPr>
      <w:r w:rsidRPr="00151050">
        <w:rPr>
          <w:rFonts w:ascii="Cambria" w:eastAsia="Times New Roman" w:hAnsi="Cambria"/>
          <w:i/>
          <w:iCs/>
          <w:sz w:val="24"/>
          <w:szCs w:val="24"/>
        </w:rPr>
        <w:t>-SNAP Monitoring (6 Monitoring Reviews for 2020 – 2021)</w:t>
      </w:r>
    </w:p>
    <w:p w14:paraId="6BF3C6F9" w14:textId="77777777" w:rsidR="00B61598" w:rsidRPr="00151050" w:rsidRDefault="00B61598" w:rsidP="00B61598">
      <w:pPr>
        <w:pStyle w:val="NoSpacing"/>
        <w:numPr>
          <w:ilvl w:val="0"/>
          <w:numId w:val="35"/>
        </w:numPr>
        <w:rPr>
          <w:rFonts w:ascii="Cambria" w:eastAsia="Times New Roman" w:hAnsi="Cambria"/>
          <w:i/>
          <w:iCs/>
          <w:sz w:val="24"/>
          <w:szCs w:val="24"/>
        </w:rPr>
      </w:pPr>
      <w:r w:rsidRPr="00151050">
        <w:rPr>
          <w:rFonts w:ascii="Cambria" w:eastAsia="Times New Roman" w:hAnsi="Cambria"/>
          <w:i/>
          <w:iCs/>
          <w:sz w:val="24"/>
          <w:szCs w:val="24"/>
        </w:rPr>
        <w:t>-Support Services Monitoring (17 Monitoring Reviews for 2020 – 2021)</w:t>
      </w:r>
    </w:p>
    <w:p w14:paraId="02253526" w14:textId="77777777" w:rsidR="00B61598" w:rsidRPr="00151050" w:rsidRDefault="00B61598" w:rsidP="00B61598">
      <w:pPr>
        <w:pStyle w:val="NoSpacing"/>
        <w:numPr>
          <w:ilvl w:val="0"/>
          <w:numId w:val="35"/>
        </w:numPr>
        <w:rPr>
          <w:rFonts w:ascii="Cambria" w:eastAsia="Times New Roman" w:hAnsi="Cambria"/>
          <w:i/>
          <w:iCs/>
          <w:sz w:val="24"/>
          <w:szCs w:val="24"/>
        </w:rPr>
      </w:pPr>
      <w:r w:rsidRPr="00151050">
        <w:rPr>
          <w:rFonts w:ascii="Cambria" w:eastAsia="Times New Roman" w:hAnsi="Cambria"/>
          <w:i/>
          <w:iCs/>
          <w:sz w:val="24"/>
          <w:szCs w:val="24"/>
        </w:rPr>
        <w:t>-WIOA Monitoring (43 Monitoring Reviews for 2020 – 2021)</w:t>
      </w:r>
    </w:p>
    <w:p w14:paraId="68749B7D" w14:textId="77777777" w:rsidR="00B61598" w:rsidRPr="00DA6C93" w:rsidRDefault="00B61598" w:rsidP="00B61598">
      <w:pPr>
        <w:pStyle w:val="NoSpacing"/>
        <w:ind w:left="360"/>
        <w:rPr>
          <w:rFonts w:ascii="Cambria" w:eastAsia="Times New Roman" w:hAnsi="Cambria"/>
          <w:b/>
          <w:bCs/>
        </w:rPr>
      </w:pPr>
      <w:r w:rsidRPr="00DA6C93">
        <w:rPr>
          <w:rFonts w:ascii="Cambria" w:eastAsia="Times New Roman" w:hAnsi="Cambria"/>
          <w:b/>
          <w:bCs/>
        </w:rPr>
        <w:t>External</w:t>
      </w:r>
    </w:p>
    <w:p w14:paraId="5C7DFC74" w14:textId="77777777" w:rsidR="00B61598" w:rsidRPr="00A507E4" w:rsidRDefault="00B61598" w:rsidP="00B61598">
      <w:pPr>
        <w:pStyle w:val="NoSpacing"/>
        <w:numPr>
          <w:ilvl w:val="0"/>
          <w:numId w:val="36"/>
        </w:numPr>
        <w:rPr>
          <w:rFonts w:ascii="Cambria" w:eastAsia="Times New Roman" w:hAnsi="Cambria"/>
          <w:i/>
          <w:iCs/>
          <w:sz w:val="24"/>
          <w:szCs w:val="24"/>
        </w:rPr>
      </w:pPr>
      <w:r w:rsidRPr="00A507E4">
        <w:rPr>
          <w:rFonts w:ascii="Cambria" w:eastAsia="Times New Roman" w:hAnsi="Cambria"/>
          <w:i/>
          <w:iCs/>
          <w:sz w:val="24"/>
          <w:szCs w:val="24"/>
        </w:rPr>
        <w:t xml:space="preserve">-Richard Rogers, Board Monitor; Choices Program Monitoring Final Report – North Texas; Date: </w:t>
      </w:r>
      <w:r>
        <w:rPr>
          <w:rFonts w:ascii="Cambria" w:eastAsia="Times New Roman" w:hAnsi="Cambria"/>
          <w:i/>
          <w:iCs/>
          <w:sz w:val="24"/>
          <w:szCs w:val="24"/>
        </w:rPr>
        <w:t>February</w:t>
      </w:r>
      <w:r w:rsidRPr="00A507E4">
        <w:rPr>
          <w:rFonts w:ascii="Cambria" w:eastAsia="Times New Roman" w:hAnsi="Cambria"/>
          <w:i/>
          <w:iCs/>
          <w:sz w:val="24"/>
          <w:szCs w:val="24"/>
        </w:rPr>
        <w:t xml:space="preserve"> 7, 202</w:t>
      </w:r>
      <w:r>
        <w:rPr>
          <w:rFonts w:ascii="Cambria" w:eastAsia="Times New Roman" w:hAnsi="Cambria"/>
          <w:i/>
          <w:iCs/>
          <w:sz w:val="24"/>
          <w:szCs w:val="24"/>
        </w:rPr>
        <w:t>2</w:t>
      </w:r>
    </w:p>
    <w:p w14:paraId="684ACA27" w14:textId="77777777" w:rsidR="00B61598" w:rsidRPr="00A507E4" w:rsidRDefault="00B61598" w:rsidP="00B61598">
      <w:pPr>
        <w:pStyle w:val="NoSpacing"/>
        <w:numPr>
          <w:ilvl w:val="0"/>
          <w:numId w:val="36"/>
        </w:numPr>
        <w:rPr>
          <w:rFonts w:ascii="Cambria" w:eastAsia="Times New Roman" w:hAnsi="Cambria"/>
          <w:i/>
          <w:iCs/>
          <w:sz w:val="24"/>
          <w:szCs w:val="24"/>
        </w:rPr>
      </w:pPr>
      <w:r w:rsidRPr="00A507E4">
        <w:rPr>
          <w:rFonts w:ascii="Cambria" w:eastAsia="Times New Roman" w:hAnsi="Cambria"/>
          <w:i/>
          <w:iCs/>
          <w:sz w:val="24"/>
          <w:szCs w:val="24"/>
        </w:rPr>
        <w:t xml:space="preserve">-Richard Rogers, Board Monitor; SNAP Program Monitoring Report – North Texas; Date: </w:t>
      </w:r>
      <w:r>
        <w:rPr>
          <w:rFonts w:ascii="Cambria" w:eastAsia="Times New Roman" w:hAnsi="Cambria"/>
          <w:i/>
          <w:iCs/>
          <w:sz w:val="24"/>
          <w:szCs w:val="24"/>
        </w:rPr>
        <w:t>February</w:t>
      </w:r>
      <w:r w:rsidRPr="00A507E4">
        <w:rPr>
          <w:rFonts w:ascii="Cambria" w:eastAsia="Times New Roman" w:hAnsi="Cambria"/>
          <w:i/>
          <w:iCs/>
          <w:sz w:val="24"/>
          <w:szCs w:val="24"/>
        </w:rPr>
        <w:t xml:space="preserve"> 7, 202</w:t>
      </w:r>
      <w:r>
        <w:rPr>
          <w:rFonts w:ascii="Cambria" w:eastAsia="Times New Roman" w:hAnsi="Cambria"/>
          <w:i/>
          <w:iCs/>
          <w:sz w:val="24"/>
          <w:szCs w:val="24"/>
        </w:rPr>
        <w:t>2</w:t>
      </w:r>
    </w:p>
    <w:p w14:paraId="183A161C" w14:textId="77777777" w:rsidR="00B61598" w:rsidRDefault="00B61598" w:rsidP="00B61598">
      <w:pPr>
        <w:pStyle w:val="NoSpacing"/>
        <w:numPr>
          <w:ilvl w:val="0"/>
          <w:numId w:val="36"/>
        </w:numPr>
        <w:rPr>
          <w:rFonts w:ascii="Cambria" w:eastAsia="Times New Roman" w:hAnsi="Cambria"/>
          <w:i/>
          <w:iCs/>
          <w:sz w:val="24"/>
          <w:szCs w:val="24"/>
        </w:rPr>
      </w:pPr>
      <w:r w:rsidRPr="00151050">
        <w:rPr>
          <w:rFonts w:ascii="Cambria" w:eastAsia="Times New Roman" w:hAnsi="Cambria"/>
          <w:i/>
          <w:iCs/>
          <w:sz w:val="24"/>
          <w:szCs w:val="24"/>
        </w:rPr>
        <w:t>-Richard Rogers, Board Monitor; WIOA Program Monitoring Final Report – North Texas;</w:t>
      </w:r>
      <w:r>
        <w:rPr>
          <w:rFonts w:ascii="Cambria" w:eastAsia="Times New Roman" w:hAnsi="Cambria"/>
          <w:i/>
          <w:iCs/>
          <w:sz w:val="24"/>
          <w:szCs w:val="24"/>
        </w:rPr>
        <w:t xml:space="preserve"> </w:t>
      </w:r>
      <w:r w:rsidRPr="00151050">
        <w:rPr>
          <w:rFonts w:ascii="Cambria" w:eastAsia="Times New Roman" w:hAnsi="Cambria"/>
          <w:i/>
          <w:iCs/>
          <w:sz w:val="24"/>
          <w:szCs w:val="24"/>
        </w:rPr>
        <w:t xml:space="preserve">Date: </w:t>
      </w:r>
      <w:r>
        <w:rPr>
          <w:rFonts w:ascii="Cambria" w:eastAsia="Times New Roman" w:hAnsi="Cambria"/>
          <w:i/>
          <w:iCs/>
          <w:sz w:val="24"/>
          <w:szCs w:val="24"/>
        </w:rPr>
        <w:t>February</w:t>
      </w:r>
      <w:r w:rsidRPr="00A507E4">
        <w:rPr>
          <w:rFonts w:ascii="Cambria" w:eastAsia="Times New Roman" w:hAnsi="Cambria"/>
          <w:i/>
          <w:iCs/>
          <w:sz w:val="24"/>
          <w:szCs w:val="24"/>
        </w:rPr>
        <w:t xml:space="preserve"> 7, 202</w:t>
      </w:r>
      <w:r>
        <w:rPr>
          <w:rFonts w:ascii="Cambria" w:eastAsia="Times New Roman" w:hAnsi="Cambria"/>
          <w:i/>
          <w:iCs/>
          <w:sz w:val="24"/>
          <w:szCs w:val="24"/>
        </w:rPr>
        <w:t>2</w:t>
      </w:r>
    </w:p>
    <w:p w14:paraId="076EDEC8" w14:textId="77777777" w:rsidR="00B61598" w:rsidRPr="00151050" w:rsidRDefault="00B61598" w:rsidP="00B61598">
      <w:pPr>
        <w:pStyle w:val="NoSpacing"/>
        <w:numPr>
          <w:ilvl w:val="0"/>
          <w:numId w:val="36"/>
        </w:numPr>
        <w:rPr>
          <w:rFonts w:ascii="Cambria" w:eastAsia="Times New Roman" w:hAnsi="Cambria"/>
          <w:i/>
          <w:iCs/>
          <w:sz w:val="24"/>
          <w:szCs w:val="24"/>
        </w:rPr>
      </w:pPr>
      <w:r w:rsidRPr="00151050">
        <w:rPr>
          <w:rFonts w:ascii="Cambria" w:eastAsia="Times New Roman" w:hAnsi="Cambria"/>
          <w:i/>
          <w:iCs/>
          <w:sz w:val="24"/>
          <w:szCs w:val="24"/>
        </w:rPr>
        <w:t>-Texas Workforce Commission; Date: 3/4/21; Audit Resolutions Report</w:t>
      </w:r>
    </w:p>
    <w:p w14:paraId="43655162" w14:textId="77777777" w:rsidR="00B61598" w:rsidRPr="00151050" w:rsidRDefault="00B61598" w:rsidP="00B61598">
      <w:pPr>
        <w:pStyle w:val="NoSpacing"/>
        <w:numPr>
          <w:ilvl w:val="0"/>
          <w:numId w:val="36"/>
        </w:numPr>
        <w:rPr>
          <w:rFonts w:ascii="Cambria" w:eastAsia="Times New Roman" w:hAnsi="Cambria"/>
          <w:i/>
          <w:iCs/>
          <w:sz w:val="24"/>
          <w:szCs w:val="24"/>
        </w:rPr>
      </w:pPr>
      <w:r w:rsidRPr="00151050">
        <w:rPr>
          <w:rFonts w:ascii="Cambria" w:eastAsia="Times New Roman" w:hAnsi="Cambria"/>
          <w:i/>
          <w:iCs/>
          <w:sz w:val="24"/>
          <w:szCs w:val="24"/>
        </w:rPr>
        <w:t>-Texas Workforce Commission; Date: 1/29/21; Letter on Monitoring of North Texas Board’s Equal Opportunity Compliance</w:t>
      </w:r>
    </w:p>
    <w:p w14:paraId="20EFF552" w14:textId="77777777" w:rsidR="00B61598" w:rsidRPr="00A507E4" w:rsidRDefault="00B61598" w:rsidP="00B61598">
      <w:pPr>
        <w:pStyle w:val="NoSpacing"/>
        <w:numPr>
          <w:ilvl w:val="0"/>
          <w:numId w:val="36"/>
        </w:numPr>
        <w:rPr>
          <w:rFonts w:ascii="Cambria" w:eastAsia="Times New Roman" w:hAnsi="Cambria"/>
          <w:i/>
          <w:iCs/>
          <w:sz w:val="24"/>
          <w:szCs w:val="24"/>
        </w:rPr>
      </w:pPr>
      <w:r w:rsidRPr="00A507E4">
        <w:rPr>
          <w:rFonts w:ascii="Cambria" w:eastAsia="Times New Roman" w:hAnsi="Cambria"/>
          <w:i/>
          <w:iCs/>
          <w:sz w:val="24"/>
          <w:szCs w:val="24"/>
        </w:rPr>
        <w:t>-Richard Rogers, Board Monitor; 2020 Alternate Funded Program Monitoring Report - North Texas; Date: December 5, 2020</w:t>
      </w:r>
    </w:p>
    <w:p w14:paraId="30A300AA" w14:textId="77777777" w:rsidR="00B61598" w:rsidRPr="00E85769" w:rsidRDefault="00B61598" w:rsidP="00B61598">
      <w:pPr>
        <w:pStyle w:val="NoSpacing"/>
        <w:ind w:left="450"/>
        <w:rPr>
          <w:rFonts w:ascii="Bahnschrift SemiLight" w:hAnsi="Bahnschrift SemiLight"/>
          <w:b/>
          <w:bCs/>
          <w:sz w:val="16"/>
          <w:szCs w:val="16"/>
        </w:rPr>
      </w:pPr>
    </w:p>
    <w:p w14:paraId="785D443C" w14:textId="77777777" w:rsidR="00B61598" w:rsidRPr="00E17A0A" w:rsidRDefault="00B61598" w:rsidP="00B61598">
      <w:pPr>
        <w:pStyle w:val="NoSpacing"/>
        <w:numPr>
          <w:ilvl w:val="0"/>
          <w:numId w:val="13"/>
        </w:numPr>
        <w:tabs>
          <w:tab w:val="left" w:pos="360"/>
        </w:tabs>
        <w:ind w:left="360"/>
        <w:rPr>
          <w:rFonts w:ascii="Bahnschrift SemiLight" w:hAnsi="Bahnschrift SemiLight"/>
          <w:sz w:val="16"/>
          <w:szCs w:val="16"/>
        </w:rPr>
      </w:pPr>
      <w:r w:rsidRPr="00DA6C93">
        <w:rPr>
          <w:rFonts w:ascii="Cambria" w:hAnsi="Cambria"/>
          <w:b/>
          <w:bCs/>
          <w:sz w:val="24"/>
          <w:szCs w:val="24"/>
        </w:rPr>
        <w:t>Cash Management</w:t>
      </w:r>
      <w:r w:rsidRPr="00E17A0A">
        <w:rPr>
          <w:rFonts w:ascii="Bahnschrift SemiLight" w:hAnsi="Bahnschrift SemiLight"/>
          <w:sz w:val="24"/>
          <w:szCs w:val="24"/>
        </w:rPr>
        <w:t xml:space="preserve">: </w:t>
      </w:r>
      <w:r w:rsidRPr="00DA6C93">
        <w:rPr>
          <w:rFonts w:asciiTheme="majorHAnsi" w:hAnsiTheme="majorHAnsi"/>
          <w:i/>
          <w:iCs/>
          <w:sz w:val="24"/>
          <w:szCs w:val="24"/>
          <w:u w:val="single"/>
        </w:rPr>
        <w:t>EWS did not provide the requested cash management information</w:t>
      </w:r>
      <w:r w:rsidRPr="00E17A0A">
        <w:rPr>
          <w:rFonts w:asciiTheme="majorHAnsi" w:hAnsiTheme="majorHAnsi"/>
          <w:i/>
          <w:iCs/>
          <w:sz w:val="24"/>
          <w:szCs w:val="24"/>
        </w:rPr>
        <w:t xml:space="preserve">. </w:t>
      </w:r>
    </w:p>
    <w:p w14:paraId="2D0FA0C4" w14:textId="77777777" w:rsidR="00B61598" w:rsidRPr="00E17A0A" w:rsidRDefault="00B61598" w:rsidP="00B61598">
      <w:pPr>
        <w:pStyle w:val="NoSpacing"/>
        <w:tabs>
          <w:tab w:val="left" w:pos="360"/>
        </w:tabs>
        <w:ind w:left="360"/>
        <w:rPr>
          <w:rFonts w:ascii="Bahnschrift SemiLight" w:hAnsi="Bahnschrift SemiLight"/>
          <w:sz w:val="16"/>
          <w:szCs w:val="16"/>
        </w:rPr>
      </w:pPr>
    </w:p>
    <w:p w14:paraId="4B97597E" w14:textId="77777777" w:rsidR="00B61598" w:rsidRPr="00205539" w:rsidRDefault="00B61598" w:rsidP="00B61598">
      <w:pPr>
        <w:pStyle w:val="NoSpacing"/>
        <w:numPr>
          <w:ilvl w:val="0"/>
          <w:numId w:val="13"/>
        </w:numPr>
        <w:tabs>
          <w:tab w:val="left" w:pos="360"/>
        </w:tabs>
        <w:ind w:left="360"/>
        <w:rPr>
          <w:rFonts w:ascii="Cambria" w:hAnsi="Cambria"/>
          <w:i/>
          <w:iCs/>
          <w:sz w:val="24"/>
          <w:szCs w:val="24"/>
          <w:u w:val="single"/>
        </w:rPr>
      </w:pPr>
      <w:r w:rsidRPr="00DA6C93">
        <w:rPr>
          <w:rFonts w:ascii="Cambria" w:hAnsi="Cambria"/>
          <w:b/>
          <w:bCs/>
          <w:sz w:val="24"/>
          <w:szCs w:val="24"/>
        </w:rPr>
        <w:t>Escrow Accounts</w:t>
      </w:r>
      <w:r w:rsidRPr="00A265F9">
        <w:rPr>
          <w:rFonts w:ascii="Bahnschrift SemiLight" w:hAnsi="Bahnschrift SemiLight"/>
          <w:b/>
          <w:bCs/>
          <w:sz w:val="24"/>
          <w:szCs w:val="24"/>
        </w:rPr>
        <w:t xml:space="preserve">: </w:t>
      </w:r>
      <w:r>
        <w:rPr>
          <w:rFonts w:ascii="Bahnschrift SemiLight" w:hAnsi="Bahnschrift SemiLight"/>
          <w:sz w:val="24"/>
          <w:szCs w:val="24"/>
        </w:rPr>
        <w:t>EWS states the following regarding the TWC 10% fiscal integrity requirement:</w:t>
      </w:r>
      <w:r w:rsidRPr="00205539">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w:t>
      </w:r>
      <w:r w:rsidRPr="00205539">
        <w:rPr>
          <w:rFonts w:ascii="Cambria" w:eastAsia="Times New Roman" w:hAnsi="Cambria" w:cs="Times New Roman"/>
          <w:i/>
          <w:iCs/>
          <w:color w:val="000000"/>
          <w:sz w:val="24"/>
          <w:szCs w:val="24"/>
          <w:u w:val="single"/>
        </w:rPr>
        <w:t>N/A – Cost reimbursable contract and Equus does not drawn down Federal funds nor requires advances from the Board</w:t>
      </w:r>
      <w:r>
        <w:rPr>
          <w:rFonts w:ascii="Cambria" w:eastAsia="Times New Roman" w:hAnsi="Cambria" w:cs="Times New Roman"/>
          <w:i/>
          <w:iCs/>
          <w:color w:val="000000"/>
          <w:sz w:val="24"/>
          <w:szCs w:val="24"/>
          <w:u w:val="single"/>
        </w:rPr>
        <w:t>”</w:t>
      </w:r>
    </w:p>
    <w:p w14:paraId="08510BE5" w14:textId="77777777" w:rsidR="00B61598" w:rsidRPr="00A265F9" w:rsidRDefault="00B61598" w:rsidP="00B61598">
      <w:pPr>
        <w:pStyle w:val="NoSpacing"/>
        <w:tabs>
          <w:tab w:val="left" w:pos="360"/>
          <w:tab w:val="left" w:pos="810"/>
        </w:tabs>
        <w:ind w:left="450"/>
        <w:rPr>
          <w:rFonts w:ascii="Bahnschrift SemiLight" w:hAnsi="Bahnschrift SemiLight"/>
          <w:sz w:val="16"/>
          <w:szCs w:val="16"/>
          <w:u w:val="single"/>
        </w:rPr>
      </w:pPr>
    </w:p>
    <w:p w14:paraId="284210DB" w14:textId="77777777" w:rsidR="00B61598" w:rsidRDefault="00B61598" w:rsidP="00B61598">
      <w:pPr>
        <w:pStyle w:val="NoSpacing"/>
        <w:numPr>
          <w:ilvl w:val="0"/>
          <w:numId w:val="13"/>
        </w:numPr>
        <w:tabs>
          <w:tab w:val="left" w:pos="360"/>
          <w:tab w:val="left" w:pos="810"/>
        </w:tabs>
        <w:ind w:hanging="720"/>
        <w:rPr>
          <w:rFonts w:ascii="Bahnschrift SemiLight" w:hAnsi="Bahnschrift SemiLight"/>
          <w:sz w:val="24"/>
          <w:szCs w:val="24"/>
        </w:rPr>
      </w:pPr>
      <w:r w:rsidRPr="00DA6C93">
        <w:rPr>
          <w:rFonts w:ascii="Cambria" w:hAnsi="Cambria"/>
          <w:b/>
          <w:bCs/>
          <w:sz w:val="24"/>
          <w:szCs w:val="24"/>
        </w:rPr>
        <w:t>Policies and Procedures</w:t>
      </w:r>
      <w:r>
        <w:rPr>
          <w:rFonts w:ascii="Bahnschrift SemiLight" w:hAnsi="Bahnschrift SemiLight"/>
          <w:b/>
          <w:bCs/>
          <w:sz w:val="24"/>
          <w:szCs w:val="24"/>
        </w:rPr>
        <w:t>:</w:t>
      </w:r>
      <w:r>
        <w:rPr>
          <w:rFonts w:ascii="Bahnschrift SemiLight" w:hAnsi="Bahnschrift SemiLight"/>
          <w:sz w:val="24"/>
          <w:szCs w:val="24"/>
        </w:rPr>
        <w:t xml:space="preserve"> EWS provided the following policies and procedures:</w:t>
      </w:r>
    </w:p>
    <w:p w14:paraId="098D7209" w14:textId="77777777" w:rsidR="00B61598" w:rsidRPr="00A265F9" w:rsidRDefault="00B61598" w:rsidP="00B61598">
      <w:pPr>
        <w:pStyle w:val="ListParagraph"/>
        <w:numPr>
          <w:ilvl w:val="0"/>
          <w:numId w:val="37"/>
        </w:numPr>
        <w:rPr>
          <w:rFonts w:asciiTheme="majorHAnsi" w:hAnsiTheme="majorHAnsi" w:cs="Calibri"/>
          <w:i/>
          <w:iCs/>
          <w:color w:val="000000"/>
        </w:rPr>
      </w:pPr>
      <w:r w:rsidRPr="00A265F9">
        <w:rPr>
          <w:rFonts w:asciiTheme="majorHAnsi" w:hAnsiTheme="majorHAnsi" w:cs="Calibri"/>
          <w:i/>
          <w:iCs/>
          <w:color w:val="000000"/>
        </w:rPr>
        <w:t>Procurement Policy and Procedure; Effective Date: 5/10/16; Revised Date: 4/1/19</w:t>
      </w:r>
    </w:p>
    <w:p w14:paraId="125C79E5" w14:textId="77777777" w:rsidR="00B61598" w:rsidRDefault="00B61598" w:rsidP="00B61598">
      <w:pPr>
        <w:pStyle w:val="NoSpacing"/>
        <w:tabs>
          <w:tab w:val="left" w:pos="810"/>
        </w:tabs>
        <w:rPr>
          <w:rFonts w:ascii="Bahnschrift SemiLight" w:hAnsi="Bahnschrift SemiLight"/>
          <w:sz w:val="16"/>
          <w:szCs w:val="16"/>
        </w:rPr>
      </w:pPr>
    </w:p>
    <w:p w14:paraId="00BD09A2" w14:textId="77777777" w:rsidR="00B61598" w:rsidRDefault="00B61598" w:rsidP="00B61598">
      <w:pPr>
        <w:pStyle w:val="NoSpacing"/>
        <w:tabs>
          <w:tab w:val="left" w:pos="810"/>
        </w:tabs>
        <w:rPr>
          <w:rFonts w:ascii="Bahnschrift SemiLight" w:hAnsi="Bahnschrift SemiLight"/>
          <w:sz w:val="16"/>
          <w:szCs w:val="16"/>
        </w:rPr>
      </w:pPr>
    </w:p>
    <w:p w14:paraId="6F272B3E" w14:textId="77777777" w:rsidR="00B61598" w:rsidRDefault="00B61598" w:rsidP="00B61598">
      <w:pPr>
        <w:pStyle w:val="NoSpacing"/>
        <w:tabs>
          <w:tab w:val="left" w:pos="810"/>
        </w:tabs>
        <w:rPr>
          <w:rFonts w:ascii="Bahnschrift SemiLight" w:hAnsi="Bahnschrift SemiLight"/>
          <w:sz w:val="16"/>
          <w:szCs w:val="16"/>
        </w:rPr>
      </w:pPr>
    </w:p>
    <w:p w14:paraId="4CB2EDD9" w14:textId="77777777" w:rsidR="00B61598" w:rsidRDefault="00B61598" w:rsidP="00B61598">
      <w:pPr>
        <w:pStyle w:val="NoSpacing"/>
        <w:tabs>
          <w:tab w:val="left" w:pos="810"/>
        </w:tabs>
        <w:rPr>
          <w:rFonts w:ascii="Bahnschrift SemiLight" w:hAnsi="Bahnschrift SemiLight"/>
          <w:sz w:val="16"/>
          <w:szCs w:val="16"/>
        </w:rPr>
      </w:pPr>
    </w:p>
    <w:p w14:paraId="075B7AAC" w14:textId="77777777" w:rsidR="00B61598" w:rsidRDefault="00B61598" w:rsidP="00B61598">
      <w:pPr>
        <w:pStyle w:val="NoSpacing"/>
        <w:tabs>
          <w:tab w:val="left" w:pos="810"/>
        </w:tabs>
        <w:rPr>
          <w:rFonts w:ascii="Bahnschrift SemiLight" w:hAnsi="Bahnschrift SemiLight"/>
          <w:sz w:val="16"/>
          <w:szCs w:val="16"/>
        </w:rPr>
      </w:pPr>
    </w:p>
    <w:p w14:paraId="5B7DCDFB" w14:textId="77777777" w:rsidR="00B61598" w:rsidRPr="00651A8E" w:rsidRDefault="00B61598" w:rsidP="00B61598">
      <w:pPr>
        <w:pStyle w:val="NoSpacing"/>
        <w:numPr>
          <w:ilvl w:val="0"/>
          <w:numId w:val="13"/>
        </w:numPr>
        <w:rPr>
          <w:rFonts w:ascii="Bahnschrift SemiLight" w:hAnsi="Bahnschrift SemiLight"/>
          <w:sz w:val="16"/>
          <w:szCs w:val="16"/>
          <w:u w:val="single"/>
        </w:rPr>
      </w:pPr>
      <w:r w:rsidRPr="00DA6C93">
        <w:rPr>
          <w:rFonts w:ascii="Cambria" w:hAnsi="Cambria"/>
          <w:b/>
          <w:sz w:val="24"/>
          <w:szCs w:val="24"/>
        </w:rPr>
        <w:lastRenderedPageBreak/>
        <w:t>Insurance</w:t>
      </w:r>
      <w:r w:rsidRPr="00651A8E">
        <w:rPr>
          <w:rFonts w:ascii="Bahnschrift SemiLight" w:hAnsi="Bahnschrift SemiLight"/>
          <w:b/>
          <w:sz w:val="24"/>
          <w:szCs w:val="24"/>
        </w:rPr>
        <w:t xml:space="preserve">: </w:t>
      </w:r>
      <w:r w:rsidRPr="00651A8E">
        <w:rPr>
          <w:rFonts w:ascii="Bahnschrift SemiLight" w:hAnsi="Bahnschrift SemiLight"/>
          <w:sz w:val="24"/>
          <w:szCs w:val="24"/>
        </w:rPr>
        <w:t xml:space="preserve">The EWS </w:t>
      </w:r>
      <w:r w:rsidRPr="00651A8E">
        <w:rPr>
          <w:rFonts w:asciiTheme="majorHAnsi" w:hAnsiTheme="majorHAnsi"/>
          <w:i/>
          <w:iCs/>
          <w:sz w:val="24"/>
          <w:szCs w:val="24"/>
        </w:rPr>
        <w:t xml:space="preserve">Certificate of Liability Insurance </w:t>
      </w:r>
      <w:r w:rsidRPr="00651A8E">
        <w:rPr>
          <w:rFonts w:ascii="Bahnschrift SemiLight" w:hAnsi="Bahnschrift SemiLight"/>
          <w:sz w:val="24"/>
          <w:szCs w:val="24"/>
        </w:rPr>
        <w:t xml:space="preserve">reflecting the following coverages for the period </w:t>
      </w:r>
      <w:r>
        <w:rPr>
          <w:rFonts w:ascii="Bahnschrift SemiLight" w:hAnsi="Bahnschrift SemiLight"/>
          <w:sz w:val="24"/>
          <w:szCs w:val="24"/>
        </w:rPr>
        <w:t>July 1</w:t>
      </w:r>
      <w:r w:rsidRPr="00651A8E">
        <w:rPr>
          <w:rFonts w:ascii="Bahnschrift SemiLight" w:hAnsi="Bahnschrift SemiLight"/>
          <w:sz w:val="24"/>
          <w:szCs w:val="24"/>
        </w:rPr>
        <w:t>, 202</w:t>
      </w:r>
      <w:r>
        <w:rPr>
          <w:rFonts w:ascii="Bahnschrift SemiLight" w:hAnsi="Bahnschrift SemiLight"/>
          <w:sz w:val="24"/>
          <w:szCs w:val="24"/>
        </w:rPr>
        <w:t>1</w:t>
      </w:r>
      <w:r w:rsidRPr="00651A8E">
        <w:rPr>
          <w:rFonts w:ascii="Bahnschrift SemiLight" w:hAnsi="Bahnschrift SemiLight"/>
          <w:sz w:val="24"/>
          <w:szCs w:val="24"/>
        </w:rPr>
        <w:t xml:space="preserve"> through </w:t>
      </w:r>
      <w:r>
        <w:rPr>
          <w:rFonts w:ascii="Bahnschrift SemiLight" w:hAnsi="Bahnschrift SemiLight"/>
          <w:sz w:val="24"/>
          <w:szCs w:val="24"/>
        </w:rPr>
        <w:t>July</w:t>
      </w:r>
      <w:r w:rsidRPr="00651A8E">
        <w:rPr>
          <w:rFonts w:ascii="Bahnschrift SemiLight" w:hAnsi="Bahnschrift SemiLight"/>
          <w:sz w:val="24"/>
          <w:szCs w:val="24"/>
        </w:rPr>
        <w:t xml:space="preserve"> 31, 202</w:t>
      </w:r>
      <w:r>
        <w:rPr>
          <w:rFonts w:ascii="Bahnschrift SemiLight" w:hAnsi="Bahnschrift SemiLight"/>
          <w:sz w:val="24"/>
          <w:szCs w:val="24"/>
        </w:rPr>
        <w:t>2</w:t>
      </w:r>
      <w:r w:rsidRPr="00651A8E">
        <w:rPr>
          <w:rFonts w:ascii="Bahnschrift SemiLight" w:hAnsi="Bahnschrift SemiLight"/>
          <w:sz w:val="24"/>
          <w:szCs w:val="24"/>
        </w:rPr>
        <w:t xml:space="preserve">.  </w:t>
      </w:r>
    </w:p>
    <w:p w14:paraId="04540A8D" w14:textId="77777777" w:rsidR="00B61598" w:rsidRPr="00651A8E" w:rsidRDefault="00B61598" w:rsidP="00B61598">
      <w:pPr>
        <w:pStyle w:val="NoSpacing"/>
        <w:ind w:left="720"/>
        <w:rPr>
          <w:rFonts w:ascii="Bahnschrift SemiLight" w:hAnsi="Bahnschrift SemiLight"/>
          <w:sz w:val="16"/>
          <w:szCs w:val="16"/>
          <w:u w:val="single"/>
        </w:rPr>
      </w:pPr>
    </w:p>
    <w:tbl>
      <w:tblPr>
        <w:tblW w:w="8711" w:type="dxa"/>
        <w:tblInd w:w="602" w:type="dxa"/>
        <w:tblLook w:val="04A0" w:firstRow="1" w:lastRow="0" w:firstColumn="1" w:lastColumn="0" w:noHBand="0" w:noVBand="1"/>
      </w:tblPr>
      <w:tblGrid>
        <w:gridCol w:w="4080"/>
        <w:gridCol w:w="2980"/>
        <w:gridCol w:w="1651"/>
      </w:tblGrid>
      <w:tr w:rsidR="00B61598" w:rsidRPr="00E72B59" w14:paraId="2BCE8380" w14:textId="77777777" w:rsidTr="00D5022B">
        <w:trPr>
          <w:trHeight w:val="310"/>
        </w:trPr>
        <w:tc>
          <w:tcPr>
            <w:tcW w:w="4080" w:type="dxa"/>
            <w:tcBorders>
              <w:top w:val="single" w:sz="8" w:space="0" w:color="auto"/>
              <w:left w:val="single" w:sz="8" w:space="0" w:color="auto"/>
              <w:bottom w:val="single" w:sz="8" w:space="0" w:color="auto"/>
              <w:right w:val="nil"/>
            </w:tcBorders>
            <w:shd w:val="clear" w:color="auto" w:fill="FDE9D9" w:themeFill="accent6" w:themeFillTint="33"/>
            <w:noWrap/>
            <w:vAlign w:val="center"/>
            <w:hideMark/>
          </w:tcPr>
          <w:p w14:paraId="27257A12" w14:textId="77777777" w:rsidR="00B61598" w:rsidRPr="00E72B59" w:rsidRDefault="00B61598" w:rsidP="00960383">
            <w:pPr>
              <w:jc w:val="center"/>
              <w:rPr>
                <w:rFonts w:ascii="Bahnschrift SemiLight" w:hAnsi="Bahnschrift SemiLight"/>
                <w:b/>
                <w:bCs/>
                <w:color w:val="000000"/>
              </w:rPr>
            </w:pPr>
            <w:r w:rsidRPr="00E72B59">
              <w:rPr>
                <w:rFonts w:ascii="Bahnschrift SemiLight" w:hAnsi="Bahnschrift SemiLight" w:cs="Calibri"/>
                <w:b/>
                <w:bCs/>
                <w:color w:val="000000"/>
              </w:rPr>
              <w:t>Type of Insurance</w:t>
            </w:r>
          </w:p>
        </w:tc>
        <w:tc>
          <w:tcPr>
            <w:tcW w:w="4631" w:type="dxa"/>
            <w:gridSpan w:val="2"/>
            <w:tcBorders>
              <w:top w:val="single" w:sz="8" w:space="0" w:color="auto"/>
              <w:left w:val="single" w:sz="8" w:space="0" w:color="auto"/>
              <w:bottom w:val="single" w:sz="8" w:space="0" w:color="auto"/>
              <w:right w:val="single" w:sz="8" w:space="0" w:color="000000"/>
            </w:tcBorders>
            <w:shd w:val="clear" w:color="auto" w:fill="FDE9D9" w:themeFill="accent6" w:themeFillTint="33"/>
            <w:noWrap/>
            <w:vAlign w:val="center"/>
            <w:hideMark/>
          </w:tcPr>
          <w:p w14:paraId="63C8DCE1" w14:textId="77777777" w:rsidR="00B61598" w:rsidRPr="00E72B59" w:rsidRDefault="00B61598" w:rsidP="00960383">
            <w:pPr>
              <w:jc w:val="center"/>
              <w:rPr>
                <w:rFonts w:ascii="Bahnschrift SemiLight" w:hAnsi="Bahnschrift SemiLight"/>
                <w:b/>
                <w:bCs/>
                <w:color w:val="000000"/>
              </w:rPr>
            </w:pPr>
            <w:r w:rsidRPr="00E72B59">
              <w:rPr>
                <w:rFonts w:ascii="Bahnschrift SemiLight" w:hAnsi="Bahnschrift SemiLight" w:cs="Calibri"/>
                <w:b/>
                <w:bCs/>
                <w:color w:val="000000"/>
              </w:rPr>
              <w:t>Limits</w:t>
            </w:r>
          </w:p>
        </w:tc>
      </w:tr>
      <w:tr w:rsidR="00B61598" w:rsidRPr="00E72B59" w14:paraId="6091D6AD"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2C977E39" w14:textId="77777777" w:rsidR="00B61598" w:rsidRPr="00E72B59" w:rsidRDefault="00B61598" w:rsidP="00960383">
            <w:pPr>
              <w:jc w:val="center"/>
              <w:rPr>
                <w:rFonts w:ascii="Bahnschrift SemiLight" w:hAnsi="Bahnschrift SemiLight"/>
                <w:b/>
                <w:bCs/>
                <w:color w:val="000000"/>
              </w:rPr>
            </w:pPr>
            <w:r w:rsidRPr="00E72B59">
              <w:rPr>
                <w:rFonts w:ascii="Bahnschrift SemiLight" w:hAnsi="Bahnschrift SemiLight" w:cs="Calibri"/>
                <w:b/>
                <w:bCs/>
                <w:color w:val="000000"/>
              </w:rPr>
              <w:t>Commercial General Liability</w:t>
            </w:r>
          </w:p>
        </w:tc>
        <w:tc>
          <w:tcPr>
            <w:tcW w:w="2980" w:type="dxa"/>
            <w:tcBorders>
              <w:top w:val="nil"/>
              <w:left w:val="nil"/>
              <w:bottom w:val="nil"/>
              <w:right w:val="nil"/>
            </w:tcBorders>
            <w:shd w:val="clear" w:color="auto" w:fill="auto"/>
            <w:noWrap/>
            <w:vAlign w:val="center"/>
            <w:hideMark/>
          </w:tcPr>
          <w:p w14:paraId="4AD21770"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each occurrence</w:t>
            </w:r>
          </w:p>
        </w:tc>
        <w:tc>
          <w:tcPr>
            <w:tcW w:w="1651" w:type="dxa"/>
            <w:tcBorders>
              <w:top w:val="nil"/>
              <w:left w:val="nil"/>
              <w:bottom w:val="nil"/>
              <w:right w:val="single" w:sz="8" w:space="0" w:color="auto"/>
            </w:tcBorders>
            <w:shd w:val="clear" w:color="auto" w:fill="auto"/>
            <w:noWrap/>
            <w:vAlign w:val="center"/>
            <w:hideMark/>
          </w:tcPr>
          <w:p w14:paraId="78DA0F82"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4</w:t>
            </w:r>
            <w:r w:rsidRPr="00E72B59">
              <w:rPr>
                <w:rFonts w:ascii="Bahnschrift SemiLight" w:hAnsi="Bahnschrift SemiLight" w:cs="Calibri"/>
                <w:color w:val="000000"/>
              </w:rPr>
              <w:t>,000,000.00</w:t>
            </w:r>
          </w:p>
        </w:tc>
      </w:tr>
      <w:tr w:rsidR="00B61598" w:rsidRPr="00E72B59" w14:paraId="549428EF"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55E58CC7" w14:textId="77777777" w:rsidR="00B61598" w:rsidRPr="00E72B59" w:rsidRDefault="00B61598" w:rsidP="00960383">
            <w:pPr>
              <w:jc w:val="center"/>
              <w:rPr>
                <w:rFonts w:ascii="Bahnschrift SemiLight" w:hAnsi="Bahnschrift SemiLight"/>
                <w:color w:val="000000"/>
              </w:rPr>
            </w:pPr>
            <w:r w:rsidRPr="00E72B59">
              <w:rPr>
                <w:rFonts w:ascii="Bahnschrift SemiLight" w:hAnsi="Bahnschrift SemiLight" w:cs="Calibri"/>
                <w:color w:val="000000"/>
              </w:rPr>
              <w:t>Damage to rented premises</w:t>
            </w:r>
          </w:p>
        </w:tc>
        <w:tc>
          <w:tcPr>
            <w:tcW w:w="2980" w:type="dxa"/>
            <w:tcBorders>
              <w:top w:val="nil"/>
              <w:left w:val="nil"/>
              <w:bottom w:val="nil"/>
              <w:right w:val="nil"/>
            </w:tcBorders>
            <w:shd w:val="clear" w:color="auto" w:fill="auto"/>
            <w:noWrap/>
            <w:vAlign w:val="center"/>
            <w:hideMark/>
          </w:tcPr>
          <w:p w14:paraId="625697A4"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each occurrence</w:t>
            </w:r>
          </w:p>
        </w:tc>
        <w:tc>
          <w:tcPr>
            <w:tcW w:w="1651" w:type="dxa"/>
            <w:tcBorders>
              <w:top w:val="nil"/>
              <w:left w:val="nil"/>
              <w:bottom w:val="nil"/>
              <w:right w:val="single" w:sz="8" w:space="0" w:color="auto"/>
            </w:tcBorders>
            <w:shd w:val="clear" w:color="auto" w:fill="auto"/>
            <w:noWrap/>
            <w:vAlign w:val="center"/>
            <w:hideMark/>
          </w:tcPr>
          <w:p w14:paraId="2F045741"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4,0</w:t>
            </w:r>
            <w:r w:rsidRPr="00E72B59">
              <w:rPr>
                <w:rFonts w:ascii="Bahnschrift SemiLight" w:hAnsi="Bahnschrift SemiLight" w:cs="Calibri"/>
                <w:color w:val="000000"/>
              </w:rPr>
              <w:t>00,000.00</w:t>
            </w:r>
          </w:p>
        </w:tc>
      </w:tr>
      <w:tr w:rsidR="00B61598" w:rsidRPr="00E72B59" w14:paraId="6C535389"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52F34E3C" w14:textId="77777777" w:rsidR="00B61598" w:rsidRPr="00E72B59" w:rsidRDefault="00B61598" w:rsidP="00960383">
            <w:pPr>
              <w:jc w:val="center"/>
              <w:rPr>
                <w:rFonts w:ascii="Bahnschrift SemiLight" w:hAnsi="Bahnschrift SemiLight"/>
                <w:color w:val="000000"/>
              </w:rPr>
            </w:pPr>
            <w:r w:rsidRPr="00E72B59">
              <w:rPr>
                <w:rFonts w:ascii="Bahnschrift SemiLight" w:hAnsi="Bahnschrift SemiLight" w:cs="Calibri"/>
                <w:color w:val="000000"/>
              </w:rPr>
              <w:t>Medical Expenses</w:t>
            </w:r>
          </w:p>
        </w:tc>
        <w:tc>
          <w:tcPr>
            <w:tcW w:w="2980" w:type="dxa"/>
            <w:tcBorders>
              <w:top w:val="nil"/>
              <w:left w:val="nil"/>
              <w:bottom w:val="nil"/>
              <w:right w:val="nil"/>
            </w:tcBorders>
            <w:shd w:val="clear" w:color="auto" w:fill="auto"/>
            <w:noWrap/>
            <w:vAlign w:val="center"/>
            <w:hideMark/>
          </w:tcPr>
          <w:p w14:paraId="5B0D45D6"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any one person</w:t>
            </w:r>
          </w:p>
        </w:tc>
        <w:tc>
          <w:tcPr>
            <w:tcW w:w="1651" w:type="dxa"/>
            <w:tcBorders>
              <w:top w:val="nil"/>
              <w:left w:val="nil"/>
              <w:bottom w:val="nil"/>
              <w:right w:val="single" w:sz="8" w:space="0" w:color="auto"/>
            </w:tcBorders>
            <w:shd w:val="clear" w:color="auto" w:fill="auto"/>
            <w:noWrap/>
            <w:vAlign w:val="center"/>
            <w:hideMark/>
          </w:tcPr>
          <w:p w14:paraId="273D0E1E"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10</w:t>
            </w:r>
            <w:r w:rsidRPr="00E72B59">
              <w:rPr>
                <w:rFonts w:ascii="Bahnschrift SemiLight" w:hAnsi="Bahnschrift SemiLight" w:cs="Calibri"/>
                <w:color w:val="000000"/>
              </w:rPr>
              <w:t>,000.00</w:t>
            </w:r>
          </w:p>
        </w:tc>
      </w:tr>
      <w:tr w:rsidR="00B61598" w:rsidRPr="00E72B59" w14:paraId="1854C919"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53B8A947" w14:textId="77777777" w:rsidR="00B61598" w:rsidRPr="00E72B59" w:rsidRDefault="00B61598" w:rsidP="00960383">
            <w:pPr>
              <w:jc w:val="center"/>
              <w:rPr>
                <w:rFonts w:ascii="Bahnschrift SemiLight" w:hAnsi="Bahnschrift SemiLight"/>
                <w:color w:val="000000"/>
              </w:rPr>
            </w:pPr>
          </w:p>
        </w:tc>
        <w:tc>
          <w:tcPr>
            <w:tcW w:w="2980" w:type="dxa"/>
            <w:tcBorders>
              <w:top w:val="nil"/>
              <w:left w:val="nil"/>
              <w:bottom w:val="nil"/>
              <w:right w:val="nil"/>
            </w:tcBorders>
            <w:shd w:val="clear" w:color="auto" w:fill="auto"/>
            <w:noWrap/>
            <w:vAlign w:val="center"/>
            <w:hideMark/>
          </w:tcPr>
          <w:p w14:paraId="6E42E208"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Personal and ADV injury</w:t>
            </w:r>
          </w:p>
        </w:tc>
        <w:tc>
          <w:tcPr>
            <w:tcW w:w="1651" w:type="dxa"/>
            <w:tcBorders>
              <w:top w:val="nil"/>
              <w:left w:val="nil"/>
              <w:bottom w:val="nil"/>
              <w:right w:val="single" w:sz="8" w:space="0" w:color="auto"/>
            </w:tcBorders>
            <w:shd w:val="clear" w:color="auto" w:fill="auto"/>
            <w:noWrap/>
            <w:vAlign w:val="center"/>
            <w:hideMark/>
          </w:tcPr>
          <w:p w14:paraId="16E63390"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4</w:t>
            </w:r>
            <w:r w:rsidRPr="00E72B59">
              <w:rPr>
                <w:rFonts w:ascii="Bahnschrift SemiLight" w:hAnsi="Bahnschrift SemiLight" w:cs="Calibri"/>
                <w:color w:val="000000"/>
              </w:rPr>
              <w:t>,000,000.00</w:t>
            </w:r>
          </w:p>
        </w:tc>
      </w:tr>
      <w:tr w:rsidR="00B61598" w:rsidRPr="00E72B59" w14:paraId="53447791"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07B376E3" w14:textId="77777777" w:rsidR="00B61598" w:rsidRPr="00E72B59" w:rsidRDefault="00B61598" w:rsidP="00960383">
            <w:pPr>
              <w:jc w:val="center"/>
              <w:rPr>
                <w:rFonts w:ascii="Bahnschrift SemiLight" w:hAnsi="Bahnschrift SemiLight"/>
                <w:color w:val="000000"/>
              </w:rPr>
            </w:pPr>
          </w:p>
        </w:tc>
        <w:tc>
          <w:tcPr>
            <w:tcW w:w="2980" w:type="dxa"/>
            <w:tcBorders>
              <w:top w:val="nil"/>
              <w:left w:val="nil"/>
              <w:bottom w:val="nil"/>
              <w:right w:val="nil"/>
            </w:tcBorders>
            <w:shd w:val="clear" w:color="auto" w:fill="auto"/>
            <w:noWrap/>
            <w:vAlign w:val="center"/>
            <w:hideMark/>
          </w:tcPr>
          <w:p w14:paraId="0AE49BCA"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general aggregate</w:t>
            </w:r>
          </w:p>
        </w:tc>
        <w:tc>
          <w:tcPr>
            <w:tcW w:w="1651" w:type="dxa"/>
            <w:tcBorders>
              <w:top w:val="nil"/>
              <w:left w:val="nil"/>
              <w:bottom w:val="nil"/>
              <w:right w:val="single" w:sz="8" w:space="0" w:color="auto"/>
            </w:tcBorders>
            <w:shd w:val="clear" w:color="auto" w:fill="auto"/>
            <w:noWrap/>
            <w:vAlign w:val="center"/>
            <w:hideMark/>
          </w:tcPr>
          <w:p w14:paraId="7F394622"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6</w:t>
            </w:r>
            <w:r w:rsidRPr="00E72B59">
              <w:rPr>
                <w:rFonts w:ascii="Bahnschrift SemiLight" w:hAnsi="Bahnschrift SemiLight" w:cs="Calibri"/>
                <w:color w:val="000000"/>
              </w:rPr>
              <w:t>,000,000.00</w:t>
            </w:r>
          </w:p>
        </w:tc>
      </w:tr>
      <w:tr w:rsidR="00B61598" w:rsidRPr="00E72B59" w14:paraId="6BCD5907" w14:textId="77777777" w:rsidTr="00960383">
        <w:trPr>
          <w:trHeight w:val="310"/>
        </w:trPr>
        <w:tc>
          <w:tcPr>
            <w:tcW w:w="4080" w:type="dxa"/>
            <w:tcBorders>
              <w:top w:val="nil"/>
              <w:left w:val="single" w:sz="8" w:space="0" w:color="auto"/>
              <w:bottom w:val="single" w:sz="8" w:space="0" w:color="auto"/>
              <w:right w:val="nil"/>
            </w:tcBorders>
            <w:shd w:val="clear" w:color="auto" w:fill="auto"/>
            <w:noWrap/>
            <w:vAlign w:val="center"/>
            <w:hideMark/>
          </w:tcPr>
          <w:p w14:paraId="04ABE134" w14:textId="77777777" w:rsidR="00B61598" w:rsidRPr="00E72B59" w:rsidRDefault="00B61598" w:rsidP="00960383">
            <w:pPr>
              <w:jc w:val="center"/>
              <w:rPr>
                <w:rFonts w:ascii="Bahnschrift SemiLight" w:hAnsi="Bahnschrift SemiLight"/>
                <w:color w:val="000000"/>
              </w:rPr>
            </w:pPr>
          </w:p>
        </w:tc>
        <w:tc>
          <w:tcPr>
            <w:tcW w:w="2980" w:type="dxa"/>
            <w:tcBorders>
              <w:top w:val="nil"/>
              <w:left w:val="nil"/>
              <w:bottom w:val="single" w:sz="8" w:space="0" w:color="auto"/>
              <w:right w:val="nil"/>
            </w:tcBorders>
            <w:shd w:val="clear" w:color="auto" w:fill="auto"/>
            <w:noWrap/>
            <w:vAlign w:val="center"/>
            <w:hideMark/>
          </w:tcPr>
          <w:p w14:paraId="50EB2E1A"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Products</w:t>
            </w:r>
          </w:p>
        </w:tc>
        <w:tc>
          <w:tcPr>
            <w:tcW w:w="1651" w:type="dxa"/>
            <w:tcBorders>
              <w:top w:val="nil"/>
              <w:left w:val="nil"/>
              <w:bottom w:val="single" w:sz="8" w:space="0" w:color="auto"/>
              <w:right w:val="single" w:sz="8" w:space="0" w:color="auto"/>
            </w:tcBorders>
            <w:shd w:val="clear" w:color="auto" w:fill="auto"/>
            <w:noWrap/>
            <w:vAlign w:val="center"/>
            <w:hideMark/>
          </w:tcPr>
          <w:p w14:paraId="69548DB5"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4</w:t>
            </w:r>
            <w:r w:rsidRPr="00E72B59">
              <w:rPr>
                <w:rFonts w:ascii="Bahnschrift SemiLight" w:hAnsi="Bahnschrift SemiLight" w:cs="Calibri"/>
                <w:color w:val="000000"/>
              </w:rPr>
              <w:t>,000,000.00</w:t>
            </w:r>
          </w:p>
        </w:tc>
      </w:tr>
      <w:tr w:rsidR="00B61598" w:rsidRPr="00E72B59" w14:paraId="47CBC2FA" w14:textId="77777777" w:rsidTr="00960383">
        <w:trPr>
          <w:trHeight w:val="97"/>
        </w:trPr>
        <w:tc>
          <w:tcPr>
            <w:tcW w:w="4080" w:type="dxa"/>
            <w:tcBorders>
              <w:top w:val="nil"/>
              <w:left w:val="single" w:sz="8" w:space="0" w:color="auto"/>
              <w:bottom w:val="single" w:sz="8" w:space="0" w:color="auto"/>
              <w:right w:val="nil"/>
            </w:tcBorders>
            <w:shd w:val="clear" w:color="auto" w:fill="auto"/>
            <w:noWrap/>
            <w:vAlign w:val="center"/>
            <w:hideMark/>
          </w:tcPr>
          <w:p w14:paraId="3FDD608C" w14:textId="77777777" w:rsidR="00B61598" w:rsidRPr="00E72B59" w:rsidRDefault="00B61598" w:rsidP="00960383">
            <w:pPr>
              <w:jc w:val="center"/>
              <w:rPr>
                <w:rFonts w:ascii="Bahnschrift SemiLight" w:hAnsi="Bahnschrift SemiLight"/>
                <w:b/>
                <w:bCs/>
                <w:color w:val="000000"/>
              </w:rPr>
            </w:pPr>
            <w:r w:rsidRPr="00E72B59">
              <w:rPr>
                <w:rFonts w:ascii="Bahnschrift SemiLight" w:hAnsi="Bahnschrift SemiLight" w:cs="Calibri"/>
                <w:b/>
                <w:bCs/>
                <w:color w:val="000000"/>
              </w:rPr>
              <w:t>Automobile Liability</w:t>
            </w:r>
          </w:p>
        </w:tc>
        <w:tc>
          <w:tcPr>
            <w:tcW w:w="2980" w:type="dxa"/>
            <w:tcBorders>
              <w:top w:val="nil"/>
              <w:left w:val="nil"/>
              <w:bottom w:val="single" w:sz="8" w:space="0" w:color="auto"/>
              <w:right w:val="nil"/>
            </w:tcBorders>
            <w:shd w:val="clear" w:color="auto" w:fill="auto"/>
            <w:vAlign w:val="center"/>
            <w:hideMark/>
          </w:tcPr>
          <w:p w14:paraId="2ACDB034"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Combined single limit each accident</w:t>
            </w:r>
          </w:p>
        </w:tc>
        <w:tc>
          <w:tcPr>
            <w:tcW w:w="1651" w:type="dxa"/>
            <w:tcBorders>
              <w:top w:val="nil"/>
              <w:left w:val="nil"/>
              <w:bottom w:val="single" w:sz="8" w:space="0" w:color="auto"/>
              <w:right w:val="single" w:sz="8" w:space="0" w:color="auto"/>
            </w:tcBorders>
            <w:shd w:val="clear" w:color="auto" w:fill="auto"/>
            <w:noWrap/>
            <w:vAlign w:val="center"/>
            <w:hideMark/>
          </w:tcPr>
          <w:p w14:paraId="2FED9076"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2</w:t>
            </w:r>
            <w:r w:rsidRPr="00E72B59">
              <w:rPr>
                <w:rFonts w:ascii="Bahnschrift SemiLight" w:hAnsi="Bahnschrift SemiLight" w:cs="Calibri"/>
                <w:color w:val="000000"/>
              </w:rPr>
              <w:t>,000,000.00</w:t>
            </w:r>
          </w:p>
        </w:tc>
      </w:tr>
      <w:tr w:rsidR="00B61598" w:rsidRPr="00E72B59" w14:paraId="28DFF455" w14:textId="77777777" w:rsidTr="00960383">
        <w:trPr>
          <w:trHeight w:val="300"/>
        </w:trPr>
        <w:tc>
          <w:tcPr>
            <w:tcW w:w="4080" w:type="dxa"/>
            <w:tcBorders>
              <w:top w:val="nil"/>
              <w:left w:val="single" w:sz="8" w:space="0" w:color="auto"/>
              <w:bottom w:val="nil"/>
              <w:right w:val="nil"/>
            </w:tcBorders>
            <w:shd w:val="clear" w:color="auto" w:fill="auto"/>
            <w:noWrap/>
            <w:vAlign w:val="center"/>
          </w:tcPr>
          <w:p w14:paraId="6F03CEED" w14:textId="77777777" w:rsidR="00B61598" w:rsidRPr="00E72B59" w:rsidRDefault="00B61598" w:rsidP="00960383">
            <w:pPr>
              <w:jc w:val="center"/>
              <w:rPr>
                <w:rFonts w:ascii="Bahnschrift SemiLight" w:hAnsi="Bahnschrift SemiLight"/>
                <w:b/>
                <w:bCs/>
                <w:color w:val="000000"/>
              </w:rPr>
            </w:pPr>
          </w:p>
        </w:tc>
        <w:tc>
          <w:tcPr>
            <w:tcW w:w="2980" w:type="dxa"/>
            <w:tcBorders>
              <w:top w:val="nil"/>
              <w:left w:val="nil"/>
              <w:bottom w:val="nil"/>
              <w:right w:val="nil"/>
            </w:tcBorders>
            <w:shd w:val="clear" w:color="auto" w:fill="auto"/>
            <w:vAlign w:val="center"/>
          </w:tcPr>
          <w:p w14:paraId="00265FB3" w14:textId="77777777" w:rsidR="00B61598" w:rsidRPr="00E72B59" w:rsidRDefault="00B61598" w:rsidP="00960383">
            <w:pPr>
              <w:jc w:val="center"/>
              <w:rPr>
                <w:rFonts w:ascii="Bahnschrift SemiLight" w:hAnsi="Bahnschrift SemiLight"/>
                <w:color w:val="000000"/>
                <w:sz w:val="20"/>
                <w:szCs w:val="20"/>
              </w:rPr>
            </w:pPr>
          </w:p>
        </w:tc>
        <w:tc>
          <w:tcPr>
            <w:tcW w:w="1651" w:type="dxa"/>
            <w:tcBorders>
              <w:top w:val="nil"/>
              <w:left w:val="nil"/>
              <w:bottom w:val="nil"/>
              <w:right w:val="single" w:sz="8" w:space="0" w:color="auto"/>
            </w:tcBorders>
            <w:shd w:val="clear" w:color="auto" w:fill="auto"/>
            <w:noWrap/>
            <w:vAlign w:val="center"/>
          </w:tcPr>
          <w:p w14:paraId="5B320468" w14:textId="77777777" w:rsidR="00B61598" w:rsidRPr="00E72B59" w:rsidRDefault="00B61598" w:rsidP="00960383">
            <w:pPr>
              <w:jc w:val="center"/>
              <w:rPr>
                <w:rFonts w:ascii="Bahnschrift SemiLight" w:hAnsi="Bahnschrift SemiLight"/>
                <w:color w:val="000000"/>
              </w:rPr>
            </w:pPr>
          </w:p>
        </w:tc>
      </w:tr>
      <w:tr w:rsidR="00B61598" w:rsidRPr="00E72B59" w14:paraId="7E69DEB8" w14:textId="77777777" w:rsidTr="00960383">
        <w:trPr>
          <w:trHeight w:val="76"/>
        </w:trPr>
        <w:tc>
          <w:tcPr>
            <w:tcW w:w="4080" w:type="dxa"/>
            <w:tcBorders>
              <w:top w:val="nil"/>
              <w:left w:val="single" w:sz="8" w:space="0" w:color="auto"/>
              <w:bottom w:val="single" w:sz="8" w:space="0" w:color="auto"/>
              <w:right w:val="nil"/>
            </w:tcBorders>
            <w:shd w:val="clear" w:color="auto" w:fill="auto"/>
            <w:noWrap/>
            <w:vAlign w:val="center"/>
          </w:tcPr>
          <w:p w14:paraId="32AD2DFB" w14:textId="77777777" w:rsidR="00B61598" w:rsidRPr="00E72B59" w:rsidRDefault="00B61598" w:rsidP="00960383">
            <w:pPr>
              <w:jc w:val="center"/>
              <w:rPr>
                <w:rFonts w:ascii="Bahnschrift SemiLight" w:hAnsi="Bahnschrift SemiLight"/>
                <w:b/>
                <w:bCs/>
                <w:color w:val="000000"/>
              </w:rPr>
            </w:pPr>
          </w:p>
        </w:tc>
        <w:tc>
          <w:tcPr>
            <w:tcW w:w="2980" w:type="dxa"/>
            <w:tcBorders>
              <w:top w:val="nil"/>
              <w:left w:val="nil"/>
              <w:bottom w:val="single" w:sz="8" w:space="0" w:color="auto"/>
              <w:right w:val="nil"/>
            </w:tcBorders>
            <w:shd w:val="clear" w:color="auto" w:fill="auto"/>
            <w:vAlign w:val="center"/>
          </w:tcPr>
          <w:p w14:paraId="38C9CC80" w14:textId="77777777" w:rsidR="00B61598" w:rsidRPr="00E72B59" w:rsidRDefault="00B61598" w:rsidP="00960383">
            <w:pPr>
              <w:jc w:val="center"/>
              <w:rPr>
                <w:rFonts w:ascii="Bahnschrift SemiLight" w:hAnsi="Bahnschrift SemiLight"/>
                <w:color w:val="000000"/>
                <w:sz w:val="20"/>
                <w:szCs w:val="20"/>
              </w:rPr>
            </w:pPr>
          </w:p>
        </w:tc>
        <w:tc>
          <w:tcPr>
            <w:tcW w:w="1651" w:type="dxa"/>
            <w:tcBorders>
              <w:top w:val="nil"/>
              <w:left w:val="nil"/>
              <w:bottom w:val="single" w:sz="8" w:space="0" w:color="auto"/>
              <w:right w:val="single" w:sz="8" w:space="0" w:color="auto"/>
            </w:tcBorders>
            <w:shd w:val="clear" w:color="auto" w:fill="auto"/>
            <w:noWrap/>
            <w:vAlign w:val="center"/>
          </w:tcPr>
          <w:p w14:paraId="30B72DEE" w14:textId="77777777" w:rsidR="00B61598" w:rsidRPr="00E72B59" w:rsidRDefault="00B61598" w:rsidP="00960383">
            <w:pPr>
              <w:jc w:val="center"/>
              <w:rPr>
                <w:rFonts w:ascii="Bahnschrift SemiLight" w:hAnsi="Bahnschrift SemiLight"/>
                <w:color w:val="000000"/>
              </w:rPr>
            </w:pPr>
          </w:p>
        </w:tc>
      </w:tr>
      <w:tr w:rsidR="00B61598" w:rsidRPr="00E72B59" w14:paraId="61225B76"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3E924230" w14:textId="77777777" w:rsidR="00B61598" w:rsidRPr="00E72B59" w:rsidRDefault="00B61598" w:rsidP="00960383">
            <w:pPr>
              <w:jc w:val="center"/>
              <w:rPr>
                <w:rFonts w:ascii="Bahnschrift SemiLight" w:hAnsi="Bahnschrift SemiLight"/>
                <w:b/>
                <w:bCs/>
                <w:color w:val="000000"/>
              </w:rPr>
            </w:pPr>
            <w:r w:rsidRPr="00E72B59">
              <w:rPr>
                <w:rFonts w:ascii="Bahnschrift SemiLight" w:hAnsi="Bahnschrift SemiLight" w:cs="Calibri"/>
                <w:b/>
                <w:bCs/>
                <w:color w:val="000000"/>
              </w:rPr>
              <w:t>Workers Compensation</w:t>
            </w:r>
          </w:p>
        </w:tc>
        <w:tc>
          <w:tcPr>
            <w:tcW w:w="2980" w:type="dxa"/>
            <w:tcBorders>
              <w:top w:val="nil"/>
              <w:left w:val="nil"/>
              <w:bottom w:val="nil"/>
              <w:right w:val="nil"/>
            </w:tcBorders>
            <w:shd w:val="clear" w:color="auto" w:fill="auto"/>
            <w:vAlign w:val="center"/>
            <w:hideMark/>
          </w:tcPr>
          <w:p w14:paraId="0C020355"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Each accident</w:t>
            </w:r>
          </w:p>
        </w:tc>
        <w:tc>
          <w:tcPr>
            <w:tcW w:w="1651" w:type="dxa"/>
            <w:tcBorders>
              <w:top w:val="nil"/>
              <w:left w:val="nil"/>
              <w:bottom w:val="nil"/>
              <w:right w:val="single" w:sz="8" w:space="0" w:color="auto"/>
            </w:tcBorders>
            <w:shd w:val="clear" w:color="auto" w:fill="auto"/>
            <w:noWrap/>
            <w:vAlign w:val="center"/>
            <w:hideMark/>
          </w:tcPr>
          <w:p w14:paraId="444689D4"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2,0</w:t>
            </w:r>
            <w:r w:rsidRPr="00E72B59">
              <w:rPr>
                <w:rFonts w:ascii="Bahnschrift SemiLight" w:hAnsi="Bahnschrift SemiLight" w:cs="Calibri"/>
                <w:color w:val="000000"/>
              </w:rPr>
              <w:t>00,000.00</w:t>
            </w:r>
          </w:p>
        </w:tc>
      </w:tr>
      <w:tr w:rsidR="00B61598" w:rsidRPr="00E72B59" w14:paraId="4E199809"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7E1BA8B6" w14:textId="77777777" w:rsidR="00B61598" w:rsidRPr="00E72B59" w:rsidRDefault="00B61598" w:rsidP="00960383">
            <w:pPr>
              <w:jc w:val="center"/>
              <w:rPr>
                <w:rFonts w:ascii="Bahnschrift SemiLight" w:hAnsi="Bahnschrift SemiLight"/>
                <w:color w:val="000000"/>
              </w:rPr>
            </w:pPr>
          </w:p>
        </w:tc>
        <w:tc>
          <w:tcPr>
            <w:tcW w:w="2980" w:type="dxa"/>
            <w:tcBorders>
              <w:top w:val="nil"/>
              <w:left w:val="nil"/>
              <w:bottom w:val="nil"/>
              <w:right w:val="nil"/>
            </w:tcBorders>
            <w:shd w:val="clear" w:color="auto" w:fill="auto"/>
            <w:vAlign w:val="center"/>
            <w:hideMark/>
          </w:tcPr>
          <w:p w14:paraId="06244F13"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Disease each employee</w:t>
            </w:r>
          </w:p>
        </w:tc>
        <w:tc>
          <w:tcPr>
            <w:tcW w:w="1651" w:type="dxa"/>
            <w:tcBorders>
              <w:top w:val="nil"/>
              <w:left w:val="nil"/>
              <w:bottom w:val="nil"/>
              <w:right w:val="single" w:sz="8" w:space="0" w:color="auto"/>
            </w:tcBorders>
            <w:shd w:val="clear" w:color="auto" w:fill="auto"/>
            <w:noWrap/>
            <w:vAlign w:val="center"/>
            <w:hideMark/>
          </w:tcPr>
          <w:p w14:paraId="39FA303E"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2,0</w:t>
            </w:r>
            <w:r w:rsidRPr="00E72B59">
              <w:rPr>
                <w:rFonts w:ascii="Bahnschrift SemiLight" w:hAnsi="Bahnschrift SemiLight" w:cs="Calibri"/>
                <w:color w:val="000000"/>
              </w:rPr>
              <w:t>00,000.00</w:t>
            </w:r>
          </w:p>
        </w:tc>
      </w:tr>
      <w:tr w:rsidR="00B61598" w:rsidRPr="00E72B59" w14:paraId="64D112B4" w14:textId="77777777" w:rsidTr="00960383">
        <w:trPr>
          <w:trHeight w:val="310"/>
        </w:trPr>
        <w:tc>
          <w:tcPr>
            <w:tcW w:w="4080" w:type="dxa"/>
            <w:tcBorders>
              <w:top w:val="nil"/>
              <w:left w:val="single" w:sz="8" w:space="0" w:color="auto"/>
              <w:bottom w:val="single" w:sz="8" w:space="0" w:color="auto"/>
              <w:right w:val="nil"/>
            </w:tcBorders>
            <w:shd w:val="clear" w:color="auto" w:fill="auto"/>
            <w:noWrap/>
            <w:vAlign w:val="center"/>
            <w:hideMark/>
          </w:tcPr>
          <w:p w14:paraId="46EA5F1F" w14:textId="77777777" w:rsidR="00B61598" w:rsidRPr="00E72B59" w:rsidRDefault="00B61598" w:rsidP="00960383">
            <w:pPr>
              <w:jc w:val="center"/>
              <w:rPr>
                <w:rFonts w:ascii="Bahnschrift SemiLight" w:hAnsi="Bahnschrift SemiLight"/>
                <w:color w:val="000000"/>
              </w:rPr>
            </w:pPr>
          </w:p>
        </w:tc>
        <w:tc>
          <w:tcPr>
            <w:tcW w:w="2980" w:type="dxa"/>
            <w:tcBorders>
              <w:top w:val="nil"/>
              <w:left w:val="nil"/>
              <w:bottom w:val="single" w:sz="8" w:space="0" w:color="auto"/>
              <w:right w:val="nil"/>
            </w:tcBorders>
            <w:shd w:val="clear" w:color="auto" w:fill="auto"/>
            <w:vAlign w:val="center"/>
            <w:hideMark/>
          </w:tcPr>
          <w:p w14:paraId="284FF78A" w14:textId="77777777" w:rsidR="00B61598" w:rsidRPr="00E72B59" w:rsidRDefault="00B61598"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Disease policy limit</w:t>
            </w:r>
          </w:p>
        </w:tc>
        <w:tc>
          <w:tcPr>
            <w:tcW w:w="1651" w:type="dxa"/>
            <w:tcBorders>
              <w:top w:val="nil"/>
              <w:left w:val="nil"/>
              <w:bottom w:val="single" w:sz="8" w:space="0" w:color="auto"/>
              <w:right w:val="single" w:sz="8" w:space="0" w:color="auto"/>
            </w:tcBorders>
            <w:shd w:val="clear" w:color="auto" w:fill="auto"/>
            <w:noWrap/>
            <w:vAlign w:val="center"/>
            <w:hideMark/>
          </w:tcPr>
          <w:p w14:paraId="1ED8235B" w14:textId="77777777" w:rsidR="00B61598" w:rsidRPr="00E72B59" w:rsidRDefault="00B61598" w:rsidP="00960383">
            <w:pPr>
              <w:jc w:val="center"/>
              <w:rPr>
                <w:rFonts w:ascii="Bahnschrift SemiLight" w:hAnsi="Bahnschrift SemiLight"/>
                <w:color w:val="000000"/>
              </w:rPr>
            </w:pPr>
            <w:r>
              <w:rPr>
                <w:rFonts w:ascii="Bahnschrift SemiLight" w:hAnsi="Bahnschrift SemiLight" w:cs="Calibri"/>
                <w:color w:val="000000"/>
              </w:rPr>
              <w:t>2,0</w:t>
            </w:r>
            <w:r w:rsidRPr="00E72B59">
              <w:rPr>
                <w:rFonts w:ascii="Bahnschrift SemiLight" w:hAnsi="Bahnschrift SemiLight" w:cs="Calibri"/>
                <w:color w:val="000000"/>
              </w:rPr>
              <w:t>00,000.00</w:t>
            </w:r>
          </w:p>
        </w:tc>
      </w:tr>
    </w:tbl>
    <w:p w14:paraId="43C76985" w14:textId="77777777" w:rsidR="00B61598" w:rsidRPr="00E17A0A" w:rsidRDefault="00B61598" w:rsidP="00B61598">
      <w:pPr>
        <w:pStyle w:val="NoSpacing"/>
        <w:tabs>
          <w:tab w:val="left" w:pos="360"/>
          <w:tab w:val="left" w:pos="810"/>
        </w:tabs>
        <w:ind w:left="360"/>
        <w:rPr>
          <w:rFonts w:ascii="Bahnschrift SemiLight" w:hAnsi="Bahnschrift SemiLight"/>
          <w:sz w:val="24"/>
          <w:szCs w:val="24"/>
        </w:rPr>
      </w:pPr>
    </w:p>
    <w:p w14:paraId="5427DCE5" w14:textId="77777777" w:rsidR="00B61598" w:rsidRDefault="00B61598" w:rsidP="00B61598">
      <w:pPr>
        <w:pStyle w:val="NoSpacing"/>
        <w:numPr>
          <w:ilvl w:val="0"/>
          <w:numId w:val="13"/>
        </w:numPr>
        <w:tabs>
          <w:tab w:val="left" w:pos="360"/>
          <w:tab w:val="left" w:pos="810"/>
        </w:tabs>
        <w:ind w:left="360"/>
        <w:rPr>
          <w:rFonts w:ascii="Bahnschrift SemiLight" w:hAnsi="Bahnschrift SemiLight"/>
          <w:sz w:val="24"/>
          <w:szCs w:val="24"/>
        </w:rPr>
      </w:pPr>
      <w:r w:rsidRPr="00DA6C93">
        <w:rPr>
          <w:rFonts w:ascii="Cambria" w:hAnsi="Cambria"/>
          <w:b/>
          <w:bCs/>
          <w:sz w:val="24"/>
          <w:szCs w:val="24"/>
        </w:rPr>
        <w:t>Conflict of Interest</w:t>
      </w:r>
      <w:r w:rsidRPr="007055E8">
        <w:rPr>
          <w:rFonts w:ascii="Bahnschrift SemiLight" w:hAnsi="Bahnschrift SemiLight"/>
          <w:b/>
          <w:bCs/>
          <w:sz w:val="24"/>
          <w:szCs w:val="24"/>
        </w:rPr>
        <w:t>:</w:t>
      </w:r>
      <w:r w:rsidRPr="007055E8">
        <w:rPr>
          <w:rFonts w:ascii="Bahnschrift SemiLight" w:hAnsi="Bahnschrift SemiLight"/>
          <w:sz w:val="24"/>
          <w:szCs w:val="24"/>
        </w:rPr>
        <w:t xml:space="preserve">  </w:t>
      </w:r>
      <w:r>
        <w:rPr>
          <w:rFonts w:ascii="Bahnschrift SemiLight" w:hAnsi="Bahnschrift SemiLight"/>
          <w:sz w:val="24"/>
          <w:szCs w:val="24"/>
        </w:rPr>
        <w:t>EWS provided the following:</w:t>
      </w:r>
    </w:p>
    <w:p w14:paraId="18522545" w14:textId="77777777" w:rsidR="00B61598" w:rsidRDefault="00B61598" w:rsidP="00B61598">
      <w:pPr>
        <w:pStyle w:val="NoSpacing"/>
        <w:numPr>
          <w:ilvl w:val="0"/>
          <w:numId w:val="37"/>
        </w:numPr>
        <w:tabs>
          <w:tab w:val="left" w:pos="360"/>
          <w:tab w:val="left" w:pos="810"/>
        </w:tabs>
        <w:rPr>
          <w:rFonts w:ascii="Bahnschrift SemiLight" w:hAnsi="Bahnschrift SemiLight"/>
          <w:sz w:val="24"/>
          <w:szCs w:val="24"/>
        </w:rPr>
      </w:pPr>
      <w:r>
        <w:rPr>
          <w:rFonts w:ascii="Bahnschrift SemiLight" w:hAnsi="Bahnschrift SemiLight"/>
          <w:sz w:val="24"/>
          <w:szCs w:val="24"/>
          <w:u w:val="single"/>
        </w:rPr>
        <w:t>The EWS</w:t>
      </w:r>
      <w:r w:rsidRPr="007055E8">
        <w:rPr>
          <w:rFonts w:ascii="Bahnschrift SemiLight" w:hAnsi="Bahnschrift SemiLight"/>
          <w:sz w:val="24"/>
          <w:szCs w:val="24"/>
          <w:u w:val="single"/>
        </w:rPr>
        <w:t xml:space="preserve"> response to item 62 in the </w:t>
      </w:r>
      <w:r>
        <w:rPr>
          <w:rFonts w:ascii="Bahnschrift SemiLight" w:hAnsi="Bahnschrift SemiLight"/>
          <w:sz w:val="24"/>
          <w:szCs w:val="24"/>
          <w:u w:val="single"/>
        </w:rPr>
        <w:t xml:space="preserve">FIRA </w:t>
      </w:r>
      <w:r w:rsidRPr="007055E8">
        <w:rPr>
          <w:rFonts w:ascii="Bahnschrift SemiLight" w:hAnsi="Bahnschrift SemiLight"/>
          <w:sz w:val="24"/>
          <w:szCs w:val="24"/>
          <w:u w:val="single"/>
        </w:rPr>
        <w:t xml:space="preserve">questionnaire </w:t>
      </w:r>
      <w:r>
        <w:rPr>
          <w:rFonts w:ascii="Bahnschrift SemiLight" w:hAnsi="Bahnschrift SemiLight"/>
          <w:sz w:val="24"/>
          <w:szCs w:val="24"/>
          <w:u w:val="single"/>
        </w:rPr>
        <w:t xml:space="preserve">states </w:t>
      </w:r>
      <w:r w:rsidRPr="007055E8">
        <w:rPr>
          <w:rFonts w:ascii="Bahnschrift SemiLight" w:hAnsi="Bahnschrift SemiLight"/>
          <w:sz w:val="24"/>
          <w:szCs w:val="24"/>
          <w:u w:val="single"/>
        </w:rPr>
        <w:t xml:space="preserve">that </w:t>
      </w:r>
      <w:r>
        <w:rPr>
          <w:rFonts w:ascii="Bahnschrift SemiLight" w:hAnsi="Bahnschrift SemiLight"/>
          <w:sz w:val="24"/>
          <w:szCs w:val="24"/>
          <w:u w:val="single"/>
        </w:rPr>
        <w:t>EWS</w:t>
      </w:r>
      <w:r w:rsidRPr="007055E8">
        <w:rPr>
          <w:rFonts w:ascii="Bahnschrift SemiLight" w:hAnsi="Bahnschrift SemiLight"/>
          <w:sz w:val="24"/>
          <w:szCs w:val="24"/>
          <w:u w:val="single"/>
        </w:rPr>
        <w:t xml:space="preserve"> requires its Board members and personnel</w:t>
      </w:r>
      <w:r>
        <w:rPr>
          <w:rFonts w:ascii="Bahnschrift SemiLight" w:hAnsi="Bahnschrift SemiLight"/>
          <w:sz w:val="24"/>
          <w:szCs w:val="24"/>
          <w:u w:val="single"/>
        </w:rPr>
        <w:t xml:space="preserve"> to</w:t>
      </w:r>
      <w:r w:rsidRPr="007055E8">
        <w:rPr>
          <w:rFonts w:ascii="Bahnschrift SemiLight" w:hAnsi="Bahnschrift SemiLight"/>
          <w:sz w:val="24"/>
          <w:szCs w:val="24"/>
          <w:u w:val="single"/>
        </w:rPr>
        <w:t xml:space="preserve"> sign a (non) conflict of interest attestation. </w:t>
      </w:r>
    </w:p>
    <w:p w14:paraId="226C8702" w14:textId="77777777" w:rsidR="00B61598" w:rsidRPr="00E17A0A" w:rsidRDefault="00B61598" w:rsidP="00B61598">
      <w:pPr>
        <w:pStyle w:val="NoSpacing"/>
        <w:tabs>
          <w:tab w:val="left" w:pos="360"/>
          <w:tab w:val="left" w:pos="810"/>
        </w:tabs>
        <w:ind w:left="360"/>
        <w:rPr>
          <w:rFonts w:ascii="Bahnschrift SemiLight" w:hAnsi="Bahnschrift SemiLight"/>
          <w:sz w:val="16"/>
          <w:szCs w:val="16"/>
        </w:rPr>
      </w:pPr>
    </w:p>
    <w:p w14:paraId="38842162" w14:textId="77777777" w:rsidR="00B61598" w:rsidRPr="00E17A0A" w:rsidRDefault="00B61598" w:rsidP="00B61598">
      <w:pPr>
        <w:pStyle w:val="NoSpacing"/>
        <w:numPr>
          <w:ilvl w:val="0"/>
          <w:numId w:val="37"/>
        </w:numPr>
        <w:tabs>
          <w:tab w:val="left" w:pos="360"/>
          <w:tab w:val="left" w:pos="810"/>
        </w:tabs>
        <w:rPr>
          <w:rFonts w:ascii="Bahnschrift SemiLight" w:hAnsi="Bahnschrift SemiLight"/>
          <w:sz w:val="16"/>
          <w:szCs w:val="16"/>
        </w:rPr>
      </w:pPr>
      <w:r w:rsidRPr="00E17A0A">
        <w:rPr>
          <w:rFonts w:ascii="Bahnschrift SemiLight" w:hAnsi="Bahnschrift SemiLight"/>
          <w:sz w:val="24"/>
          <w:szCs w:val="24"/>
        </w:rPr>
        <w:t xml:space="preserve">EWS indicates that its personnel </w:t>
      </w:r>
      <w:r w:rsidRPr="00E17A0A">
        <w:rPr>
          <w:rFonts w:asciiTheme="majorHAnsi" w:hAnsiTheme="majorHAnsi"/>
          <w:i/>
          <w:iCs/>
          <w:sz w:val="24"/>
          <w:szCs w:val="24"/>
          <w:u w:val="single"/>
        </w:rPr>
        <w:t>are not required to disclose gifts greater than $50, given to a Board member or Board employee</w:t>
      </w:r>
      <w:r w:rsidRPr="00E17A0A">
        <w:rPr>
          <w:rFonts w:ascii="Bahnschrift SemiLight" w:hAnsi="Bahnschrift SemiLight"/>
          <w:sz w:val="24"/>
          <w:szCs w:val="24"/>
        </w:rPr>
        <w:t xml:space="preserve">. </w:t>
      </w:r>
    </w:p>
    <w:p w14:paraId="40017548" w14:textId="77777777" w:rsidR="00B61598" w:rsidRPr="00E17A0A" w:rsidRDefault="00B61598" w:rsidP="00B61598">
      <w:pPr>
        <w:pStyle w:val="NoSpacing"/>
        <w:tabs>
          <w:tab w:val="left" w:pos="360"/>
          <w:tab w:val="left" w:pos="810"/>
        </w:tabs>
        <w:ind w:left="720"/>
        <w:rPr>
          <w:rFonts w:ascii="Bahnschrift SemiLight" w:hAnsi="Bahnschrift SemiLight"/>
          <w:sz w:val="16"/>
          <w:szCs w:val="16"/>
        </w:rPr>
      </w:pPr>
    </w:p>
    <w:p w14:paraId="12FD2C57" w14:textId="77777777" w:rsidR="00B61598" w:rsidRPr="007055E8" w:rsidRDefault="00B61598" w:rsidP="00B61598">
      <w:pPr>
        <w:pStyle w:val="NoSpacing"/>
        <w:numPr>
          <w:ilvl w:val="0"/>
          <w:numId w:val="13"/>
        </w:numPr>
        <w:tabs>
          <w:tab w:val="left" w:pos="360"/>
          <w:tab w:val="left" w:pos="810"/>
        </w:tabs>
        <w:ind w:left="360"/>
        <w:rPr>
          <w:rFonts w:ascii="Bahnschrift SemiLight" w:hAnsi="Bahnschrift SemiLight"/>
          <w:sz w:val="24"/>
          <w:szCs w:val="24"/>
        </w:rPr>
      </w:pPr>
      <w:r w:rsidRPr="00DA6C93">
        <w:rPr>
          <w:rFonts w:ascii="Cambria" w:hAnsi="Cambria"/>
          <w:b/>
          <w:bCs/>
          <w:sz w:val="24"/>
          <w:szCs w:val="24"/>
        </w:rPr>
        <w:t>Adverse Judgements</w:t>
      </w:r>
      <w:r>
        <w:rPr>
          <w:rFonts w:ascii="Bahnschrift SemiLight" w:hAnsi="Bahnschrift SemiLight"/>
          <w:b/>
          <w:bCs/>
          <w:sz w:val="24"/>
          <w:szCs w:val="24"/>
        </w:rPr>
        <w:t xml:space="preserve">:  </w:t>
      </w:r>
      <w:r>
        <w:rPr>
          <w:rFonts w:ascii="Bahnschrift SemiLight" w:hAnsi="Bahnschrift SemiLight"/>
          <w:sz w:val="24"/>
          <w:szCs w:val="24"/>
        </w:rPr>
        <w:t xml:space="preserve">EWS </w:t>
      </w:r>
      <w:r w:rsidRPr="006E6534">
        <w:rPr>
          <w:rFonts w:ascii="Bahnschrift SemiLight" w:hAnsi="Bahnschrift SemiLight"/>
          <w:sz w:val="24"/>
          <w:szCs w:val="24"/>
        </w:rPr>
        <w:t>indicated</w:t>
      </w:r>
      <w:r>
        <w:rPr>
          <w:rFonts w:ascii="Bahnschrift SemiLight" w:hAnsi="Bahnschrift SemiLight"/>
          <w:sz w:val="24"/>
          <w:szCs w:val="24"/>
        </w:rPr>
        <w:t xml:space="preserve"> it </w:t>
      </w:r>
      <w:r w:rsidRPr="006413EC">
        <w:rPr>
          <w:rFonts w:ascii="Bahnschrift SemiLight" w:hAnsi="Bahnschrift SemiLight"/>
          <w:sz w:val="24"/>
          <w:szCs w:val="24"/>
          <w:u w:val="single"/>
        </w:rPr>
        <w:t>did not</w:t>
      </w:r>
      <w:r>
        <w:rPr>
          <w:rFonts w:ascii="Bahnschrift SemiLight" w:hAnsi="Bahnschrift SemiLight"/>
          <w:sz w:val="24"/>
          <w:szCs w:val="24"/>
        </w:rPr>
        <w:t xml:space="preserve"> have any adverse judgements or findings during the last twelve months that would impede their ability to perform the services pursuant to a contract with the Board.</w:t>
      </w:r>
    </w:p>
    <w:p w14:paraId="159ACFA3" w14:textId="77777777" w:rsidR="00B61598" w:rsidRPr="001300B5" w:rsidRDefault="00B61598" w:rsidP="00B61598">
      <w:pPr>
        <w:pStyle w:val="NoSpacing"/>
        <w:tabs>
          <w:tab w:val="left" w:pos="360"/>
          <w:tab w:val="left" w:pos="810"/>
        </w:tabs>
        <w:ind w:hanging="720"/>
        <w:rPr>
          <w:rFonts w:ascii="Bahnschrift SemiLight" w:hAnsi="Bahnschrift SemiLight"/>
          <w:sz w:val="24"/>
          <w:szCs w:val="24"/>
        </w:rPr>
      </w:pPr>
    </w:p>
    <w:p w14:paraId="6F1C655F" w14:textId="77777777" w:rsidR="00B61598" w:rsidRPr="001300B5" w:rsidRDefault="00B61598" w:rsidP="00B61598">
      <w:pPr>
        <w:pStyle w:val="NoSpacing"/>
        <w:tabs>
          <w:tab w:val="left" w:pos="360"/>
        </w:tabs>
        <w:rPr>
          <w:rFonts w:ascii="Bahnschrift SemiLight" w:hAnsi="Bahnschrift SemiLight"/>
          <w:sz w:val="24"/>
          <w:szCs w:val="24"/>
        </w:rPr>
      </w:pPr>
    </w:p>
    <w:p w14:paraId="2F69E074" w14:textId="77777777" w:rsidR="00B61598" w:rsidRPr="001300B5" w:rsidRDefault="00B61598" w:rsidP="00B61598">
      <w:pPr>
        <w:pStyle w:val="NoSpacing"/>
        <w:rPr>
          <w:rFonts w:ascii="Bahnschrift SemiLight" w:hAnsi="Bahnschrift SemiLight"/>
          <w:sz w:val="24"/>
          <w:szCs w:val="24"/>
        </w:rPr>
      </w:pPr>
    </w:p>
    <w:p w14:paraId="0BD48E32" w14:textId="77777777" w:rsidR="00B61598" w:rsidRPr="001300B5" w:rsidRDefault="00B61598" w:rsidP="00B61598">
      <w:pPr>
        <w:pStyle w:val="NoSpacing"/>
        <w:rPr>
          <w:rFonts w:ascii="Bahnschrift SemiLight" w:hAnsi="Bahnschrift SemiLight"/>
          <w:sz w:val="24"/>
          <w:szCs w:val="24"/>
        </w:rPr>
      </w:pPr>
    </w:p>
    <w:p w14:paraId="745FD5A6" w14:textId="77777777" w:rsidR="00B61598" w:rsidRPr="001300B5" w:rsidRDefault="00B61598" w:rsidP="00B61598">
      <w:pPr>
        <w:pStyle w:val="NoSpacing"/>
        <w:rPr>
          <w:rFonts w:ascii="Bahnschrift SemiLight" w:hAnsi="Bahnschrift SemiLight"/>
          <w:sz w:val="24"/>
          <w:szCs w:val="24"/>
        </w:rPr>
      </w:pPr>
    </w:p>
    <w:p w14:paraId="1B943812" w14:textId="77777777" w:rsidR="00B61598" w:rsidRPr="001300B5" w:rsidRDefault="00B61598" w:rsidP="00B61598">
      <w:pPr>
        <w:pStyle w:val="NoSpacing"/>
        <w:rPr>
          <w:rFonts w:ascii="Bahnschrift SemiLight" w:hAnsi="Bahnschrift SemiLight"/>
          <w:sz w:val="24"/>
          <w:szCs w:val="24"/>
        </w:rPr>
      </w:pPr>
    </w:p>
    <w:p w14:paraId="1C627338" w14:textId="1B19C521" w:rsidR="00B61598" w:rsidRDefault="00B61598" w:rsidP="00B61598">
      <w:pPr>
        <w:pStyle w:val="NoSpacing"/>
      </w:pPr>
    </w:p>
    <w:p w14:paraId="46AC38C9" w14:textId="580B60E4" w:rsidR="00B61598" w:rsidRDefault="00B61598" w:rsidP="00B61598">
      <w:pPr>
        <w:pStyle w:val="NoSpacing"/>
      </w:pPr>
    </w:p>
    <w:p w14:paraId="4790FDEB" w14:textId="2069FA36" w:rsidR="00B61598" w:rsidRDefault="00B61598" w:rsidP="00B61598">
      <w:pPr>
        <w:pStyle w:val="NoSpacing"/>
      </w:pPr>
    </w:p>
    <w:p w14:paraId="1CB0BB4B" w14:textId="430DDF46" w:rsidR="00B61598" w:rsidRDefault="00B61598" w:rsidP="00B61598">
      <w:pPr>
        <w:pStyle w:val="NoSpacing"/>
      </w:pPr>
    </w:p>
    <w:p w14:paraId="063B4EA9" w14:textId="2C454EC9" w:rsidR="00B61598" w:rsidRDefault="00B61598" w:rsidP="00B61598">
      <w:pPr>
        <w:pStyle w:val="NoSpacing"/>
      </w:pPr>
    </w:p>
    <w:p w14:paraId="79EC40FE" w14:textId="77865784" w:rsidR="00B61598" w:rsidRDefault="00B61598" w:rsidP="00B61598">
      <w:pPr>
        <w:pStyle w:val="NoSpacing"/>
      </w:pPr>
    </w:p>
    <w:p w14:paraId="77D85DE8" w14:textId="42979055" w:rsidR="00B61598" w:rsidRDefault="00B61598" w:rsidP="00B61598">
      <w:pPr>
        <w:pStyle w:val="NoSpacing"/>
      </w:pPr>
    </w:p>
    <w:p w14:paraId="4B88DAE1" w14:textId="5C41C6F3" w:rsidR="00B61598" w:rsidRDefault="00B61598" w:rsidP="00B61598">
      <w:pPr>
        <w:pStyle w:val="NoSpacing"/>
      </w:pPr>
    </w:p>
    <w:p w14:paraId="627A309E" w14:textId="77777777" w:rsidR="00B61598" w:rsidRDefault="00B61598" w:rsidP="00B61598">
      <w:pPr>
        <w:pStyle w:val="NoSpacing"/>
      </w:pPr>
    </w:p>
    <w:p w14:paraId="4A0AEB60" w14:textId="54349C9A" w:rsidR="00B61598" w:rsidRDefault="00B61598" w:rsidP="00B61598">
      <w:pPr>
        <w:pStyle w:val="NoSpacing"/>
      </w:pPr>
    </w:p>
    <w:p w14:paraId="3720FF69" w14:textId="6E6A14FF" w:rsidR="00A100A0" w:rsidRPr="00D5022B" w:rsidRDefault="00A100A0" w:rsidP="00A100A0">
      <w:pPr>
        <w:pStyle w:val="NoSpacing"/>
        <w:numPr>
          <w:ilvl w:val="0"/>
          <w:numId w:val="46"/>
        </w:numPr>
        <w:rPr>
          <w:rFonts w:asciiTheme="majorHAnsi" w:hAnsiTheme="majorHAnsi" w:cs="Segoe UI Historic"/>
          <w:b/>
          <w:color w:val="984806" w:themeColor="accent6" w:themeShade="80"/>
          <w:sz w:val="28"/>
          <w:szCs w:val="28"/>
        </w:rPr>
      </w:pPr>
      <w:bookmarkStart w:id="9" w:name="_Hlk87177086"/>
      <w:r w:rsidRPr="00D5022B">
        <w:rPr>
          <w:rFonts w:asciiTheme="majorHAnsi" w:hAnsiTheme="majorHAnsi" w:cs="Segoe UI Historic"/>
          <w:bCs/>
          <w:color w:val="984806" w:themeColor="accent6" w:themeShade="80"/>
          <w:sz w:val="36"/>
          <w:szCs w:val="36"/>
        </w:rPr>
        <w:lastRenderedPageBreak/>
        <w:t>Rolling Plains Management Corporation</w:t>
      </w:r>
      <w:r w:rsidRPr="00D5022B">
        <w:rPr>
          <w:rFonts w:asciiTheme="majorHAnsi" w:hAnsiTheme="majorHAnsi" w:cs="Segoe UI Historic"/>
          <w:b/>
          <w:color w:val="984806" w:themeColor="accent6" w:themeShade="80"/>
          <w:sz w:val="32"/>
          <w:szCs w:val="32"/>
        </w:rPr>
        <w:t xml:space="preserve">, </w:t>
      </w:r>
      <w:r w:rsidRPr="00D5022B">
        <w:rPr>
          <w:rFonts w:asciiTheme="majorHAnsi" w:hAnsiTheme="majorHAnsi" w:cs="Segoe UI Historic"/>
          <w:b/>
          <w:color w:val="984806" w:themeColor="accent6" w:themeShade="80"/>
          <w:sz w:val="20"/>
          <w:szCs w:val="20"/>
        </w:rPr>
        <w:t>(RPMC)</w:t>
      </w:r>
      <w:r w:rsidRPr="00D5022B">
        <w:rPr>
          <w:rFonts w:asciiTheme="majorHAnsi" w:hAnsiTheme="majorHAnsi" w:cs="Segoe UI Historic"/>
          <w:b/>
          <w:color w:val="984806" w:themeColor="accent6" w:themeShade="80"/>
          <w:sz w:val="28"/>
          <w:szCs w:val="28"/>
        </w:rPr>
        <w:t xml:space="preserve"> </w:t>
      </w:r>
    </w:p>
    <w:bookmarkEnd w:id="9"/>
    <w:p w14:paraId="0C20C674" w14:textId="77777777" w:rsidR="00656847" w:rsidRPr="00455136" w:rsidRDefault="00656847" w:rsidP="00656847">
      <w:pPr>
        <w:pStyle w:val="NoSpacing"/>
        <w:numPr>
          <w:ilvl w:val="0"/>
          <w:numId w:val="38"/>
        </w:numPr>
        <w:rPr>
          <w:rFonts w:ascii="Bahnschrift SemiLight" w:hAnsi="Bahnschrift SemiLight"/>
          <w:sz w:val="16"/>
          <w:szCs w:val="16"/>
        </w:rPr>
      </w:pPr>
      <w:r w:rsidRPr="00DA6C93">
        <w:rPr>
          <w:rFonts w:ascii="Cambria" w:hAnsi="Cambria"/>
          <w:b/>
          <w:sz w:val="24"/>
          <w:szCs w:val="24"/>
        </w:rPr>
        <w:t>Contract</w:t>
      </w:r>
      <w:r w:rsidRPr="00DA3A5B">
        <w:rPr>
          <w:rFonts w:ascii="Bahnschrift SemiLight" w:hAnsi="Bahnschrift SemiLight"/>
          <w:sz w:val="24"/>
          <w:szCs w:val="24"/>
        </w:rPr>
        <w:t xml:space="preserve">: </w:t>
      </w:r>
      <w:r>
        <w:rPr>
          <w:rFonts w:ascii="Bahnschrift SemiLight" w:hAnsi="Bahnschrift SemiLight"/>
          <w:sz w:val="24"/>
          <w:szCs w:val="24"/>
        </w:rPr>
        <w:t>The following co</w:t>
      </w:r>
      <w:r w:rsidRPr="00DA3A5B">
        <w:rPr>
          <w:rFonts w:ascii="Bahnschrift SemiLight" w:hAnsi="Bahnschrift SemiLight"/>
          <w:sz w:val="24"/>
          <w:szCs w:val="24"/>
        </w:rPr>
        <w:t>ntract</w:t>
      </w:r>
      <w:r>
        <w:rPr>
          <w:rFonts w:ascii="Bahnschrift SemiLight" w:hAnsi="Bahnschrift SemiLight"/>
          <w:sz w:val="24"/>
          <w:szCs w:val="24"/>
        </w:rPr>
        <w:t>s were provided:</w:t>
      </w:r>
    </w:p>
    <w:p w14:paraId="6069FAD9" w14:textId="77777777" w:rsidR="00656847" w:rsidRPr="00FD181B" w:rsidRDefault="00656847" w:rsidP="00656847">
      <w:pPr>
        <w:pStyle w:val="ListParagraph"/>
        <w:numPr>
          <w:ilvl w:val="0"/>
          <w:numId w:val="50"/>
        </w:numPr>
        <w:rPr>
          <w:rFonts w:ascii="Cambria" w:hAnsi="Cambria" w:cs="Calibri"/>
          <w:color w:val="000000"/>
        </w:rPr>
      </w:pPr>
      <w:r w:rsidRPr="00FD181B">
        <w:rPr>
          <w:rFonts w:ascii="Cambria" w:hAnsi="Cambria" w:cs="Calibri"/>
          <w:color w:val="000000"/>
        </w:rPr>
        <w:t xml:space="preserve">Contract No. CC/FCA/PY2022; Contract Period: 10/1/21 to 10/31/22; </w:t>
      </w:r>
    </w:p>
    <w:p w14:paraId="5CC94533" w14:textId="77777777" w:rsidR="00656847" w:rsidRPr="00FD181B" w:rsidRDefault="00656847" w:rsidP="00656847">
      <w:pPr>
        <w:pStyle w:val="ListParagraph"/>
        <w:numPr>
          <w:ilvl w:val="0"/>
          <w:numId w:val="50"/>
        </w:numPr>
        <w:rPr>
          <w:rFonts w:ascii="Cambria" w:hAnsi="Cambria" w:cs="Calibri"/>
          <w:color w:val="000000"/>
        </w:rPr>
      </w:pPr>
      <w:r w:rsidRPr="00FD181B">
        <w:rPr>
          <w:rFonts w:ascii="Cambria" w:hAnsi="Cambria" w:cs="Calibri"/>
          <w:color w:val="000000"/>
        </w:rPr>
        <w:t xml:space="preserve">Contract No. CC/FCA/PY2022-02; Contract Period: 10/1/21 to 10/31/22; Dated: 5/13/22; </w:t>
      </w:r>
    </w:p>
    <w:p w14:paraId="3070A4B9" w14:textId="77777777" w:rsidR="00656847" w:rsidRPr="00DA3A5B" w:rsidRDefault="00656847" w:rsidP="00656847">
      <w:pPr>
        <w:pStyle w:val="NoSpacing"/>
        <w:ind w:left="720"/>
        <w:rPr>
          <w:rFonts w:ascii="Bahnschrift SemiLight" w:hAnsi="Bahnschrift SemiLight"/>
          <w:sz w:val="16"/>
          <w:szCs w:val="16"/>
        </w:rPr>
      </w:pPr>
    </w:p>
    <w:p w14:paraId="6C6C15F6" w14:textId="77777777" w:rsidR="00656847" w:rsidRDefault="00656847" w:rsidP="00656847">
      <w:pPr>
        <w:pStyle w:val="NoSpacing"/>
        <w:numPr>
          <w:ilvl w:val="0"/>
          <w:numId w:val="38"/>
        </w:numPr>
        <w:rPr>
          <w:rFonts w:ascii="Bahnschrift SemiLight" w:hAnsi="Bahnschrift SemiLight"/>
          <w:sz w:val="24"/>
          <w:szCs w:val="24"/>
        </w:rPr>
      </w:pPr>
      <w:r w:rsidRPr="00DA6C93">
        <w:rPr>
          <w:rFonts w:ascii="Cambria" w:hAnsi="Cambria"/>
          <w:b/>
          <w:sz w:val="24"/>
          <w:szCs w:val="24"/>
        </w:rPr>
        <w:t>Organization Charts</w:t>
      </w:r>
      <w:r w:rsidRPr="00DA3A5B">
        <w:rPr>
          <w:rFonts w:ascii="Bahnschrift SemiLight" w:hAnsi="Bahnschrift SemiLight"/>
          <w:sz w:val="24"/>
          <w:szCs w:val="24"/>
        </w:rPr>
        <w:t xml:space="preserve">: </w:t>
      </w:r>
    </w:p>
    <w:p w14:paraId="09936685" w14:textId="77777777" w:rsidR="00656847" w:rsidRDefault="00656847" w:rsidP="00656847">
      <w:pPr>
        <w:pStyle w:val="NoSpacing"/>
        <w:numPr>
          <w:ilvl w:val="0"/>
          <w:numId w:val="42"/>
        </w:numPr>
        <w:rPr>
          <w:rFonts w:ascii="Bahnschrift SemiLight" w:hAnsi="Bahnschrift SemiLight"/>
          <w:sz w:val="24"/>
          <w:szCs w:val="24"/>
        </w:rPr>
      </w:pPr>
      <w:r>
        <w:rPr>
          <w:rFonts w:asciiTheme="majorHAnsi" w:hAnsiTheme="majorHAnsi"/>
          <w:i/>
          <w:iCs/>
          <w:sz w:val="26"/>
          <w:szCs w:val="26"/>
        </w:rPr>
        <w:t xml:space="preserve">The Rolling Plains Management Corporation Organization </w:t>
      </w:r>
      <w:r>
        <w:rPr>
          <w:rFonts w:ascii="Bahnschrift SemiLight" w:hAnsi="Bahnschrift SemiLight"/>
          <w:sz w:val="24"/>
          <w:szCs w:val="24"/>
        </w:rPr>
        <w:t>dated June 1, 2020.</w:t>
      </w:r>
    </w:p>
    <w:p w14:paraId="76D0C25F" w14:textId="77777777" w:rsidR="00656847" w:rsidRDefault="00656847" w:rsidP="00656847">
      <w:pPr>
        <w:pStyle w:val="NoSpacing"/>
        <w:numPr>
          <w:ilvl w:val="0"/>
          <w:numId w:val="42"/>
        </w:numPr>
        <w:rPr>
          <w:rFonts w:ascii="Bahnschrift SemiLight" w:hAnsi="Bahnschrift SemiLight"/>
          <w:sz w:val="24"/>
          <w:szCs w:val="24"/>
        </w:rPr>
      </w:pPr>
      <w:r>
        <w:rPr>
          <w:rFonts w:asciiTheme="majorHAnsi" w:hAnsiTheme="majorHAnsi"/>
          <w:i/>
          <w:iCs/>
          <w:sz w:val="26"/>
          <w:szCs w:val="26"/>
        </w:rPr>
        <w:t xml:space="preserve">The Rolling Plains Management Corporation Organization Chart (Child Care Assistance) </w:t>
      </w:r>
      <w:r>
        <w:rPr>
          <w:rFonts w:ascii="Bahnschrift SemiLight" w:hAnsi="Bahnschrift SemiLight"/>
          <w:sz w:val="24"/>
          <w:szCs w:val="24"/>
        </w:rPr>
        <w:t>dated June 1, 2020.</w:t>
      </w:r>
    </w:p>
    <w:p w14:paraId="41BDB058" w14:textId="77777777" w:rsidR="00656847" w:rsidRPr="00774507" w:rsidRDefault="00656847" w:rsidP="00656847">
      <w:pPr>
        <w:pStyle w:val="ListParagraph"/>
        <w:rPr>
          <w:rFonts w:ascii="Bahnschrift SemiLight" w:hAnsi="Bahnschrift SemiLight"/>
          <w:sz w:val="16"/>
          <w:szCs w:val="16"/>
        </w:rPr>
      </w:pPr>
    </w:p>
    <w:p w14:paraId="2523074C" w14:textId="75170E04" w:rsidR="00656847" w:rsidRPr="00817018" w:rsidRDefault="00656847" w:rsidP="00656847">
      <w:pPr>
        <w:pStyle w:val="NoSpacing"/>
        <w:numPr>
          <w:ilvl w:val="0"/>
          <w:numId w:val="38"/>
        </w:numPr>
        <w:rPr>
          <w:rFonts w:ascii="Bahnschrift SemiLight" w:hAnsi="Bahnschrift SemiLight"/>
          <w:i/>
          <w:u w:val="single"/>
        </w:rPr>
      </w:pPr>
      <w:r w:rsidRPr="00DA6C93">
        <w:rPr>
          <w:rFonts w:ascii="Cambria" w:hAnsi="Cambria"/>
          <w:b/>
          <w:sz w:val="24"/>
          <w:szCs w:val="24"/>
        </w:rPr>
        <w:t>Fiscal Integrity Questionnaire</w:t>
      </w:r>
      <w:r w:rsidRPr="00C11790">
        <w:rPr>
          <w:rFonts w:ascii="Bahnschrift SemiLight" w:hAnsi="Bahnschrift SemiLight"/>
          <w:sz w:val="24"/>
          <w:szCs w:val="24"/>
        </w:rPr>
        <w:t xml:space="preserve">: </w:t>
      </w:r>
      <w:r>
        <w:rPr>
          <w:rFonts w:asciiTheme="majorHAnsi" w:hAnsiTheme="majorHAnsi"/>
          <w:i/>
          <w:iCs/>
          <w:sz w:val="26"/>
          <w:szCs w:val="26"/>
        </w:rPr>
        <w:t xml:space="preserve">Diaz, Smith </w:t>
      </w:r>
      <w:r w:rsidRPr="008E2A5C">
        <w:rPr>
          <w:rFonts w:asciiTheme="majorHAnsi" w:hAnsiTheme="majorHAnsi"/>
          <w:i/>
          <w:iCs/>
          <w:sz w:val="26"/>
          <w:szCs w:val="26"/>
        </w:rPr>
        <w:t>and Associates</w:t>
      </w:r>
      <w:r w:rsidR="00D5022B">
        <w:rPr>
          <w:rFonts w:asciiTheme="majorHAnsi" w:hAnsiTheme="majorHAnsi"/>
          <w:i/>
          <w:iCs/>
          <w:sz w:val="26"/>
          <w:szCs w:val="26"/>
        </w:rPr>
        <w:t>’</w:t>
      </w:r>
      <w:r w:rsidRPr="008E2A5C">
        <w:rPr>
          <w:rFonts w:ascii="Bahnschrift SemiLight" w:hAnsi="Bahnschrift SemiLight"/>
          <w:sz w:val="26"/>
          <w:szCs w:val="26"/>
        </w:rPr>
        <w:t xml:space="preserve"> </w:t>
      </w:r>
      <w:r w:rsidRPr="008E2A5C">
        <w:rPr>
          <w:rFonts w:asciiTheme="majorHAnsi" w:hAnsiTheme="majorHAnsi"/>
          <w:i/>
          <w:iCs/>
          <w:sz w:val="26"/>
          <w:szCs w:val="26"/>
        </w:rPr>
        <w:t>Fiscal Integrity and Financial Risk Assessment Questionnaire</w:t>
      </w:r>
      <w:r w:rsidRPr="002932A9">
        <w:rPr>
          <w:rFonts w:asciiTheme="majorHAnsi" w:hAnsiTheme="majorHAnsi"/>
          <w:i/>
          <w:iCs/>
          <w:sz w:val="24"/>
          <w:szCs w:val="24"/>
        </w:rPr>
        <w:t xml:space="preserve"> (FIRA)</w:t>
      </w:r>
      <w:r>
        <w:rPr>
          <w:rFonts w:asciiTheme="majorHAnsi" w:hAnsiTheme="majorHAnsi"/>
          <w:i/>
          <w:iCs/>
          <w:sz w:val="24"/>
          <w:szCs w:val="24"/>
        </w:rPr>
        <w:t xml:space="preserve"> </w:t>
      </w:r>
      <w:r w:rsidRPr="00C11790">
        <w:rPr>
          <w:rFonts w:ascii="Bahnschrift SemiLight" w:hAnsi="Bahnschrift SemiLight"/>
          <w:sz w:val="24"/>
          <w:szCs w:val="24"/>
        </w:rPr>
        <w:t>for the period October 1, 20</w:t>
      </w:r>
      <w:r>
        <w:rPr>
          <w:rFonts w:ascii="Bahnschrift SemiLight" w:hAnsi="Bahnschrift SemiLight"/>
          <w:sz w:val="24"/>
          <w:szCs w:val="24"/>
        </w:rPr>
        <w:t>2</w:t>
      </w:r>
      <w:r w:rsidR="00D5022B">
        <w:rPr>
          <w:rFonts w:ascii="Bahnschrift SemiLight" w:hAnsi="Bahnschrift SemiLight"/>
          <w:sz w:val="24"/>
          <w:szCs w:val="24"/>
        </w:rPr>
        <w:t>2</w:t>
      </w:r>
      <w:r w:rsidRPr="00C11790">
        <w:rPr>
          <w:rFonts w:ascii="Bahnschrift SemiLight" w:hAnsi="Bahnschrift SemiLight"/>
          <w:sz w:val="24"/>
          <w:szCs w:val="24"/>
        </w:rPr>
        <w:t xml:space="preserve"> through September 30, 202</w:t>
      </w:r>
      <w:r w:rsidR="00D5022B">
        <w:rPr>
          <w:rFonts w:ascii="Bahnschrift SemiLight" w:hAnsi="Bahnschrift SemiLight"/>
          <w:sz w:val="24"/>
          <w:szCs w:val="24"/>
        </w:rPr>
        <w:t>3</w:t>
      </w:r>
      <w:r>
        <w:rPr>
          <w:rFonts w:ascii="Bahnschrift SemiLight" w:hAnsi="Bahnschrift SemiLight"/>
          <w:sz w:val="24"/>
          <w:szCs w:val="24"/>
        </w:rPr>
        <w:t xml:space="preserve"> </w:t>
      </w:r>
      <w:r w:rsidRPr="00C11790">
        <w:rPr>
          <w:rFonts w:ascii="Bahnschrift SemiLight" w:hAnsi="Bahnschrift SemiLight"/>
          <w:sz w:val="24"/>
          <w:szCs w:val="24"/>
        </w:rPr>
        <w:t>completed by</w:t>
      </w:r>
      <w:r>
        <w:rPr>
          <w:rFonts w:ascii="Bahnschrift SemiLight" w:hAnsi="Bahnschrift SemiLight"/>
          <w:sz w:val="24"/>
          <w:szCs w:val="24"/>
        </w:rPr>
        <w:t xml:space="preserve"> the </w:t>
      </w:r>
      <w:r>
        <w:rPr>
          <w:rFonts w:asciiTheme="majorHAnsi" w:hAnsiTheme="majorHAnsi" w:cstheme="minorHAnsi"/>
          <w:i/>
          <w:iCs/>
          <w:sz w:val="24"/>
          <w:szCs w:val="24"/>
        </w:rPr>
        <w:t xml:space="preserve">RPMC Financial Director </w:t>
      </w:r>
      <w:r>
        <w:rPr>
          <w:rFonts w:ascii="Bahnschrift SemiLight" w:hAnsi="Bahnschrift SemiLight"/>
          <w:sz w:val="24"/>
          <w:szCs w:val="24"/>
        </w:rPr>
        <w:t>and dated September 10, 2021</w:t>
      </w:r>
      <w:r w:rsidRPr="00C11790">
        <w:rPr>
          <w:rFonts w:ascii="Bahnschrift SemiLight" w:hAnsi="Bahnschrift SemiLight"/>
          <w:sz w:val="24"/>
          <w:szCs w:val="24"/>
        </w:rPr>
        <w:t xml:space="preserve">. </w:t>
      </w:r>
      <w:r>
        <w:rPr>
          <w:rFonts w:ascii="Bahnschrift SemiLight" w:hAnsi="Bahnschrift SemiLight"/>
          <w:sz w:val="24"/>
          <w:szCs w:val="24"/>
        </w:rPr>
        <w:t>The questionnaire responses indicate the following:</w:t>
      </w:r>
    </w:p>
    <w:p w14:paraId="4BDBB498" w14:textId="77777777" w:rsidR="00656847" w:rsidRPr="00DE4728" w:rsidRDefault="00656847" w:rsidP="00656847">
      <w:pPr>
        <w:pStyle w:val="ListParagraph"/>
        <w:numPr>
          <w:ilvl w:val="0"/>
          <w:numId w:val="40"/>
        </w:numPr>
        <w:rPr>
          <w:rFonts w:ascii="Bahnschrift SemiLight" w:hAnsi="Bahnschrift SemiLight"/>
          <w:u w:val="single"/>
        </w:rPr>
      </w:pPr>
      <w:r w:rsidRPr="002D1317">
        <w:rPr>
          <w:rFonts w:ascii="Bahnschrift SemiLight" w:hAnsi="Bahnschrift SemiLight" w:cstheme="minorHAnsi"/>
        </w:rPr>
        <w:t>RPMC’s contract with the Board will</w:t>
      </w:r>
      <w:r>
        <w:rPr>
          <w:rFonts w:ascii="Bahnschrift SemiLight" w:hAnsi="Bahnschrift SemiLight" w:cstheme="minorHAnsi"/>
        </w:rPr>
        <w:t xml:space="preserve"> be </w:t>
      </w:r>
      <w:r w:rsidRPr="002D1317">
        <w:rPr>
          <w:rFonts w:ascii="Bahnschrift SemiLight" w:hAnsi="Bahnschrift SemiLight" w:cstheme="minorHAnsi"/>
        </w:rPr>
        <w:t xml:space="preserve">cost reimbursement </w:t>
      </w:r>
      <w:r w:rsidRPr="002D1317">
        <w:rPr>
          <w:rFonts w:asciiTheme="majorHAnsi" w:hAnsiTheme="majorHAnsi" w:cstheme="minorHAnsi"/>
          <w:i/>
          <w:iCs/>
          <w:u w:val="single"/>
        </w:rPr>
        <w:t>without advances</w:t>
      </w:r>
      <w:r>
        <w:rPr>
          <w:rFonts w:asciiTheme="majorHAnsi" w:hAnsiTheme="majorHAnsi" w:cstheme="minorHAnsi"/>
          <w:i/>
          <w:iCs/>
          <w:u w:val="single"/>
        </w:rPr>
        <w:t xml:space="preserve"> </w:t>
      </w:r>
      <w:r w:rsidRPr="00DE4728">
        <w:rPr>
          <w:rFonts w:ascii="Bahnschrift SemiLight" w:hAnsi="Bahnschrift SemiLight" w:cstheme="minorHAnsi"/>
          <w:u w:val="single"/>
        </w:rPr>
        <w:t>of approximately $6,930,000.</w:t>
      </w:r>
    </w:p>
    <w:p w14:paraId="46ABF7B8" w14:textId="77777777" w:rsidR="00656847" w:rsidRPr="002D1317" w:rsidRDefault="00656847" w:rsidP="00656847">
      <w:pPr>
        <w:pStyle w:val="ListParagraph"/>
        <w:numPr>
          <w:ilvl w:val="0"/>
          <w:numId w:val="40"/>
        </w:numPr>
        <w:rPr>
          <w:rFonts w:ascii="Bahnschrift SemiLight" w:hAnsi="Bahnschrift SemiLight"/>
        </w:rPr>
      </w:pPr>
      <w:r w:rsidRPr="002D1317">
        <w:rPr>
          <w:rFonts w:ascii="Bahnschrift SemiLight" w:hAnsi="Bahnschrift SemiLight"/>
        </w:rPr>
        <w:t>RPMC indicates it has incurred $37.47 in disallowed costs in the preceding five years</w:t>
      </w:r>
    </w:p>
    <w:p w14:paraId="4E4B3924" w14:textId="77777777" w:rsidR="00656847" w:rsidRPr="002D1317" w:rsidRDefault="00656847" w:rsidP="00656847">
      <w:pPr>
        <w:pStyle w:val="NoSpacing"/>
        <w:ind w:left="360"/>
        <w:rPr>
          <w:rFonts w:ascii="Bahnschrift SemiLight" w:hAnsi="Bahnschrift SemiLight"/>
          <w:sz w:val="16"/>
          <w:szCs w:val="16"/>
          <w:u w:val="single"/>
        </w:rPr>
      </w:pPr>
    </w:p>
    <w:p w14:paraId="36DBF81D" w14:textId="77777777" w:rsidR="00656847" w:rsidRPr="0036560F" w:rsidRDefault="00656847" w:rsidP="00656847">
      <w:pPr>
        <w:pStyle w:val="NoSpacing"/>
        <w:numPr>
          <w:ilvl w:val="0"/>
          <w:numId w:val="38"/>
        </w:numPr>
        <w:rPr>
          <w:rFonts w:ascii="Bahnschrift SemiLight" w:hAnsi="Bahnschrift SemiLight"/>
          <w:sz w:val="24"/>
          <w:szCs w:val="24"/>
          <w:u w:val="single"/>
        </w:rPr>
      </w:pPr>
      <w:r w:rsidRPr="00DA6C93">
        <w:rPr>
          <w:rFonts w:ascii="Cambria" w:hAnsi="Cambria"/>
          <w:b/>
          <w:sz w:val="24"/>
          <w:szCs w:val="24"/>
        </w:rPr>
        <w:t>Audit</w:t>
      </w:r>
      <w:r w:rsidRPr="00C11790">
        <w:rPr>
          <w:rFonts w:ascii="Bahnschrift SemiLight" w:hAnsi="Bahnschrift SemiLight"/>
          <w:b/>
          <w:sz w:val="24"/>
          <w:szCs w:val="24"/>
        </w:rPr>
        <w:t xml:space="preserve">: </w:t>
      </w:r>
      <w:r>
        <w:rPr>
          <w:rFonts w:ascii="Bahnschrift SemiLight" w:hAnsi="Bahnschrift SemiLight"/>
          <w:sz w:val="24"/>
          <w:szCs w:val="24"/>
        </w:rPr>
        <w:t xml:space="preserve">RPMC </w:t>
      </w:r>
      <w:r w:rsidRPr="00C11790">
        <w:rPr>
          <w:rFonts w:ascii="Bahnschrift SemiLight" w:hAnsi="Bahnschrift SemiLight"/>
          <w:sz w:val="24"/>
          <w:szCs w:val="24"/>
        </w:rPr>
        <w:t xml:space="preserve">provided </w:t>
      </w:r>
      <w:r>
        <w:rPr>
          <w:rFonts w:ascii="Bahnschrift SemiLight" w:hAnsi="Bahnschrift SemiLight"/>
          <w:sz w:val="24"/>
          <w:szCs w:val="24"/>
        </w:rPr>
        <w:t xml:space="preserve">the following: </w:t>
      </w:r>
    </w:p>
    <w:p w14:paraId="2FCA48CD" w14:textId="77777777" w:rsidR="00656847" w:rsidRPr="007E3993" w:rsidRDefault="00656847" w:rsidP="00656847">
      <w:pPr>
        <w:pStyle w:val="ListParagraph"/>
        <w:numPr>
          <w:ilvl w:val="0"/>
          <w:numId w:val="41"/>
        </w:numPr>
        <w:rPr>
          <w:rFonts w:asciiTheme="majorHAnsi" w:hAnsiTheme="majorHAnsi" w:cs="Calibri"/>
          <w:i/>
          <w:iCs/>
          <w:color w:val="000000"/>
        </w:rPr>
      </w:pPr>
      <w:r>
        <w:rPr>
          <w:rFonts w:asciiTheme="majorHAnsi" w:hAnsiTheme="majorHAnsi" w:cs="Calibri"/>
          <w:i/>
          <w:iCs/>
          <w:color w:val="000000"/>
        </w:rPr>
        <w:t xml:space="preserve">Rolling Plains Management Corporation of Baylor, Cottle, Foard, Hardeman and Wilbarger Counties </w:t>
      </w:r>
      <w:r w:rsidRPr="007E3993">
        <w:rPr>
          <w:rFonts w:asciiTheme="majorHAnsi" w:hAnsiTheme="majorHAnsi" w:cs="Calibri"/>
          <w:i/>
          <w:iCs/>
          <w:color w:val="000000"/>
        </w:rPr>
        <w:t>Financial Statements and Independent Auditor’s Report, For the Year Ended November 30, 2020; Audited By: MWH Group, Certified Public Accountants Consultants; Date</w:t>
      </w:r>
      <w:r>
        <w:rPr>
          <w:rFonts w:asciiTheme="majorHAnsi" w:hAnsiTheme="majorHAnsi" w:cs="Calibri"/>
          <w:i/>
          <w:iCs/>
          <w:color w:val="000000"/>
        </w:rPr>
        <w:t>d</w:t>
      </w:r>
      <w:r w:rsidRPr="007E3993">
        <w:rPr>
          <w:rFonts w:asciiTheme="majorHAnsi" w:hAnsiTheme="majorHAnsi" w:cs="Calibri"/>
          <w:i/>
          <w:iCs/>
          <w:color w:val="000000"/>
        </w:rPr>
        <w:t xml:space="preserve">: </w:t>
      </w:r>
      <w:r>
        <w:rPr>
          <w:rFonts w:asciiTheme="majorHAnsi" w:hAnsiTheme="majorHAnsi" w:cs="Calibri"/>
          <w:i/>
          <w:iCs/>
          <w:color w:val="000000"/>
        </w:rPr>
        <w:t xml:space="preserve">July </w:t>
      </w:r>
      <w:r w:rsidRPr="007E3993">
        <w:rPr>
          <w:rFonts w:asciiTheme="majorHAnsi" w:hAnsiTheme="majorHAnsi" w:cs="Calibri"/>
          <w:i/>
          <w:iCs/>
          <w:color w:val="000000"/>
        </w:rPr>
        <w:t>27</w:t>
      </w:r>
      <w:r>
        <w:rPr>
          <w:rFonts w:asciiTheme="majorHAnsi" w:hAnsiTheme="majorHAnsi" w:cs="Calibri"/>
          <w:i/>
          <w:iCs/>
          <w:color w:val="000000"/>
        </w:rPr>
        <w:t>, 20</w:t>
      </w:r>
      <w:r w:rsidRPr="007E3993">
        <w:rPr>
          <w:rFonts w:asciiTheme="majorHAnsi" w:hAnsiTheme="majorHAnsi" w:cs="Calibri"/>
          <w:i/>
          <w:iCs/>
          <w:color w:val="000000"/>
        </w:rPr>
        <w:t>21</w:t>
      </w:r>
    </w:p>
    <w:p w14:paraId="7E57B942" w14:textId="77777777" w:rsidR="00656847" w:rsidRPr="007E3993" w:rsidRDefault="00656847" w:rsidP="00656847">
      <w:pPr>
        <w:pStyle w:val="ListParagraph"/>
        <w:numPr>
          <w:ilvl w:val="0"/>
          <w:numId w:val="41"/>
        </w:numPr>
        <w:rPr>
          <w:rFonts w:asciiTheme="majorHAnsi" w:hAnsiTheme="majorHAnsi" w:cs="Calibri"/>
          <w:i/>
          <w:iCs/>
          <w:color w:val="000000"/>
        </w:rPr>
      </w:pPr>
      <w:r w:rsidRPr="007E3993">
        <w:rPr>
          <w:rFonts w:asciiTheme="majorHAnsi" w:hAnsiTheme="majorHAnsi" w:cs="Calibri"/>
          <w:i/>
          <w:iCs/>
          <w:color w:val="000000"/>
        </w:rPr>
        <w:t>-Management Letter; Date</w:t>
      </w:r>
      <w:r>
        <w:rPr>
          <w:rFonts w:asciiTheme="majorHAnsi" w:hAnsiTheme="majorHAnsi" w:cs="Calibri"/>
          <w:i/>
          <w:iCs/>
          <w:color w:val="000000"/>
        </w:rPr>
        <w:t>d</w:t>
      </w:r>
      <w:r w:rsidRPr="007E3993">
        <w:rPr>
          <w:rFonts w:asciiTheme="majorHAnsi" w:hAnsiTheme="majorHAnsi" w:cs="Calibri"/>
          <w:i/>
          <w:iCs/>
          <w:color w:val="000000"/>
        </w:rPr>
        <w:t xml:space="preserve">: </w:t>
      </w:r>
      <w:r>
        <w:rPr>
          <w:rFonts w:asciiTheme="majorHAnsi" w:hAnsiTheme="majorHAnsi" w:cs="Calibri"/>
          <w:i/>
          <w:iCs/>
          <w:color w:val="000000"/>
        </w:rPr>
        <w:t xml:space="preserve">July </w:t>
      </w:r>
      <w:r w:rsidRPr="007E3993">
        <w:rPr>
          <w:rFonts w:asciiTheme="majorHAnsi" w:hAnsiTheme="majorHAnsi" w:cs="Calibri"/>
          <w:i/>
          <w:iCs/>
          <w:color w:val="000000"/>
        </w:rPr>
        <w:t>27</w:t>
      </w:r>
      <w:r>
        <w:rPr>
          <w:rFonts w:asciiTheme="majorHAnsi" w:hAnsiTheme="majorHAnsi" w:cs="Calibri"/>
          <w:i/>
          <w:iCs/>
          <w:color w:val="000000"/>
        </w:rPr>
        <w:t>, 20</w:t>
      </w:r>
      <w:r w:rsidRPr="007E3993">
        <w:rPr>
          <w:rFonts w:asciiTheme="majorHAnsi" w:hAnsiTheme="majorHAnsi" w:cs="Calibri"/>
          <w:i/>
          <w:iCs/>
          <w:color w:val="000000"/>
        </w:rPr>
        <w:t>21</w:t>
      </w:r>
    </w:p>
    <w:p w14:paraId="066B228C" w14:textId="77777777" w:rsidR="00656847" w:rsidRPr="00AC1409" w:rsidRDefault="00656847" w:rsidP="00656847">
      <w:pPr>
        <w:pStyle w:val="NoSpacing"/>
        <w:rPr>
          <w:rFonts w:ascii="Bahnschrift SemiLight" w:hAnsi="Bahnschrift SemiLight"/>
          <w:b/>
          <w:sz w:val="16"/>
          <w:szCs w:val="16"/>
        </w:rPr>
      </w:pPr>
    </w:p>
    <w:p w14:paraId="57191B37" w14:textId="77777777" w:rsidR="00656847" w:rsidRPr="00DE4728" w:rsidRDefault="00656847" w:rsidP="00656847">
      <w:pPr>
        <w:pStyle w:val="NoSpacing"/>
        <w:numPr>
          <w:ilvl w:val="0"/>
          <w:numId w:val="38"/>
        </w:numPr>
        <w:rPr>
          <w:rFonts w:ascii="Bahnschrift SemiLight" w:hAnsi="Bahnschrift SemiLight"/>
          <w:sz w:val="16"/>
          <w:szCs w:val="16"/>
        </w:rPr>
      </w:pPr>
      <w:r w:rsidRPr="00DA6C93">
        <w:rPr>
          <w:rFonts w:ascii="Cambria" w:hAnsi="Cambria"/>
          <w:b/>
          <w:sz w:val="24"/>
          <w:szCs w:val="24"/>
        </w:rPr>
        <w:t>Cash Management</w:t>
      </w:r>
      <w:r w:rsidRPr="00DE4728">
        <w:rPr>
          <w:rFonts w:ascii="Bahnschrift SemiLight" w:hAnsi="Bahnschrift SemiLight"/>
          <w:b/>
          <w:sz w:val="24"/>
          <w:szCs w:val="24"/>
        </w:rPr>
        <w:t>:</w:t>
      </w:r>
      <w:r w:rsidRPr="00DE4728">
        <w:rPr>
          <w:rFonts w:ascii="Bahnschrift SemiLight" w:hAnsi="Bahnschrift SemiLight"/>
          <w:sz w:val="24"/>
          <w:szCs w:val="24"/>
        </w:rPr>
        <w:t xml:space="preserve">  RPMC provided its </w:t>
      </w:r>
      <w:r>
        <w:rPr>
          <w:rFonts w:ascii="Bahnschrift SemiLight" w:hAnsi="Bahnschrift SemiLight"/>
          <w:sz w:val="24"/>
          <w:szCs w:val="24"/>
        </w:rPr>
        <w:t xml:space="preserve">May 2022 </w:t>
      </w:r>
      <w:r w:rsidRPr="00DE4728">
        <w:rPr>
          <w:rFonts w:ascii="Bahnschrift SemiLight" w:hAnsi="Bahnschrift SemiLight"/>
          <w:sz w:val="24"/>
          <w:szCs w:val="24"/>
        </w:rPr>
        <w:t xml:space="preserve">bank statements and reconciliations for the following accounts:  </w:t>
      </w:r>
    </w:p>
    <w:p w14:paraId="7935FC52" w14:textId="77777777" w:rsidR="00656847" w:rsidRPr="00DE4728" w:rsidRDefault="00656847" w:rsidP="00656847">
      <w:pPr>
        <w:pStyle w:val="NoSpacing"/>
        <w:numPr>
          <w:ilvl w:val="0"/>
          <w:numId w:val="43"/>
        </w:numPr>
        <w:rPr>
          <w:rFonts w:asciiTheme="majorHAnsi" w:eastAsia="Times New Roman" w:hAnsiTheme="majorHAnsi"/>
          <w:i/>
          <w:iCs/>
          <w:sz w:val="24"/>
          <w:szCs w:val="24"/>
        </w:rPr>
      </w:pPr>
      <w:r w:rsidRPr="00DE4728">
        <w:rPr>
          <w:rFonts w:asciiTheme="majorHAnsi" w:eastAsia="Times New Roman" w:hAnsiTheme="majorHAnsi"/>
          <w:i/>
          <w:iCs/>
          <w:sz w:val="24"/>
          <w:szCs w:val="24"/>
        </w:rPr>
        <w:t>Operating Account</w:t>
      </w:r>
    </w:p>
    <w:p w14:paraId="271DD2D9" w14:textId="77777777" w:rsidR="00656847" w:rsidRPr="00DE4728" w:rsidRDefault="00656847" w:rsidP="00656847">
      <w:pPr>
        <w:pStyle w:val="NoSpacing"/>
        <w:numPr>
          <w:ilvl w:val="0"/>
          <w:numId w:val="43"/>
        </w:numPr>
        <w:rPr>
          <w:rFonts w:asciiTheme="majorHAnsi" w:eastAsia="Times New Roman" w:hAnsiTheme="majorHAnsi"/>
          <w:i/>
          <w:iCs/>
          <w:sz w:val="24"/>
          <w:szCs w:val="24"/>
        </w:rPr>
      </w:pPr>
      <w:r w:rsidRPr="00DE4728">
        <w:rPr>
          <w:rFonts w:asciiTheme="majorHAnsi" w:eastAsia="Times New Roman" w:hAnsiTheme="majorHAnsi"/>
          <w:i/>
          <w:iCs/>
          <w:sz w:val="24"/>
          <w:szCs w:val="24"/>
        </w:rPr>
        <w:t xml:space="preserve">Payroll Account </w:t>
      </w:r>
    </w:p>
    <w:p w14:paraId="3E2E8874" w14:textId="77777777" w:rsidR="00656847" w:rsidRDefault="00656847" w:rsidP="00656847">
      <w:pPr>
        <w:pStyle w:val="NoSpacing"/>
        <w:numPr>
          <w:ilvl w:val="0"/>
          <w:numId w:val="43"/>
        </w:numPr>
        <w:rPr>
          <w:rFonts w:asciiTheme="majorHAnsi" w:eastAsia="Times New Roman" w:hAnsiTheme="majorHAnsi"/>
          <w:i/>
          <w:iCs/>
          <w:sz w:val="24"/>
          <w:szCs w:val="24"/>
        </w:rPr>
      </w:pPr>
      <w:r w:rsidRPr="00DE4728">
        <w:rPr>
          <w:rFonts w:asciiTheme="majorHAnsi" w:eastAsia="Times New Roman" w:hAnsiTheme="majorHAnsi"/>
          <w:i/>
          <w:iCs/>
          <w:sz w:val="24"/>
          <w:szCs w:val="24"/>
        </w:rPr>
        <w:t xml:space="preserve">RPMC 1 </w:t>
      </w:r>
    </w:p>
    <w:p w14:paraId="1A3597C5" w14:textId="77777777" w:rsidR="00656847" w:rsidRPr="00DE4728" w:rsidRDefault="00656847" w:rsidP="00656847">
      <w:pPr>
        <w:pStyle w:val="NoSpacing"/>
        <w:numPr>
          <w:ilvl w:val="0"/>
          <w:numId w:val="43"/>
        </w:numPr>
        <w:rPr>
          <w:rFonts w:asciiTheme="majorHAnsi" w:eastAsia="Times New Roman" w:hAnsiTheme="majorHAnsi"/>
          <w:i/>
          <w:iCs/>
          <w:sz w:val="24"/>
          <w:szCs w:val="24"/>
        </w:rPr>
      </w:pPr>
      <w:r>
        <w:rPr>
          <w:rFonts w:asciiTheme="majorHAnsi" w:eastAsia="Times New Roman" w:hAnsiTheme="majorHAnsi"/>
          <w:i/>
          <w:iCs/>
          <w:sz w:val="24"/>
          <w:szCs w:val="24"/>
        </w:rPr>
        <w:t>Sweep Account</w:t>
      </w:r>
    </w:p>
    <w:p w14:paraId="150C1AF0" w14:textId="77777777" w:rsidR="00656847" w:rsidRPr="00DE4728" w:rsidRDefault="00656847" w:rsidP="00656847">
      <w:pPr>
        <w:pStyle w:val="NoSpacing"/>
        <w:ind w:left="360"/>
        <w:rPr>
          <w:rFonts w:ascii="Bahnschrift SemiLight" w:hAnsi="Bahnschrift SemiLight"/>
          <w:sz w:val="16"/>
          <w:szCs w:val="16"/>
        </w:rPr>
      </w:pPr>
    </w:p>
    <w:p w14:paraId="0C722FC6" w14:textId="77777777" w:rsidR="00656847" w:rsidRPr="00651A8E" w:rsidRDefault="00656847" w:rsidP="00656847">
      <w:pPr>
        <w:pStyle w:val="NoSpacing"/>
        <w:numPr>
          <w:ilvl w:val="0"/>
          <w:numId w:val="38"/>
        </w:numPr>
        <w:rPr>
          <w:rFonts w:ascii="Bahnschrift SemiLight" w:hAnsi="Bahnschrift SemiLight"/>
          <w:sz w:val="24"/>
          <w:szCs w:val="24"/>
        </w:rPr>
      </w:pPr>
      <w:r w:rsidRPr="00DA6C93">
        <w:rPr>
          <w:rFonts w:ascii="Cambria" w:hAnsi="Cambria"/>
          <w:b/>
          <w:sz w:val="24"/>
          <w:szCs w:val="24"/>
        </w:rPr>
        <w:t>Fiscal Integrity 10% Requirement</w:t>
      </w:r>
      <w:r w:rsidRPr="00651A8E">
        <w:rPr>
          <w:rFonts w:ascii="Bahnschrift SemiLight" w:hAnsi="Bahnschrift SemiLight"/>
          <w:b/>
          <w:sz w:val="24"/>
          <w:szCs w:val="24"/>
        </w:rPr>
        <w:t xml:space="preserve">: </w:t>
      </w:r>
      <w:r w:rsidRPr="00651A8E">
        <w:rPr>
          <w:rFonts w:ascii="Bahnschrift SemiLight" w:hAnsi="Bahnschrift SemiLight"/>
          <w:sz w:val="24"/>
          <w:szCs w:val="24"/>
        </w:rPr>
        <w:t>In response to applicable questions in the FIRA questionnaire RPMC</w:t>
      </w:r>
      <w:r w:rsidRPr="00651A8E">
        <w:rPr>
          <w:rFonts w:ascii="Bahnschrift SemiLight" w:hAnsi="Bahnschrift SemiLight" w:cstheme="minorHAnsi"/>
          <w:sz w:val="24"/>
          <w:szCs w:val="24"/>
        </w:rPr>
        <w:t xml:space="preserve"> states it will use </w:t>
      </w:r>
      <w:r w:rsidRPr="00651A8E">
        <w:rPr>
          <w:rFonts w:asciiTheme="majorHAnsi" w:hAnsiTheme="majorHAnsi" w:cstheme="minorHAnsi"/>
          <w:i/>
          <w:iCs/>
          <w:sz w:val="24"/>
          <w:szCs w:val="24"/>
        </w:rPr>
        <w:t>Directors and Officers</w:t>
      </w:r>
      <w:r w:rsidRPr="00651A8E">
        <w:rPr>
          <w:rFonts w:ascii="Bahnschrift SemiLight" w:hAnsi="Bahnschrift SemiLight" w:cstheme="minorHAnsi"/>
          <w:sz w:val="24"/>
          <w:szCs w:val="24"/>
        </w:rPr>
        <w:t xml:space="preserve"> insurance coverage of $2,000,000 to satisfy the TWC 10% fiscal integrity requirement.  </w:t>
      </w:r>
    </w:p>
    <w:p w14:paraId="139F7674" w14:textId="77777777" w:rsidR="00656847" w:rsidRDefault="00656847" w:rsidP="00656847">
      <w:pPr>
        <w:pStyle w:val="NoSpacing"/>
        <w:ind w:left="1080"/>
        <w:rPr>
          <w:rFonts w:ascii="Bahnschrift SemiLight" w:hAnsi="Bahnschrift SemiLight"/>
          <w:sz w:val="16"/>
          <w:szCs w:val="16"/>
        </w:rPr>
      </w:pPr>
    </w:p>
    <w:p w14:paraId="67900A78" w14:textId="77777777" w:rsidR="00656847" w:rsidRDefault="00656847" w:rsidP="00656847">
      <w:pPr>
        <w:pStyle w:val="NoSpacing"/>
        <w:ind w:left="1080"/>
        <w:rPr>
          <w:rFonts w:ascii="Bahnschrift SemiLight" w:hAnsi="Bahnschrift SemiLight"/>
          <w:sz w:val="16"/>
          <w:szCs w:val="16"/>
        </w:rPr>
      </w:pPr>
    </w:p>
    <w:p w14:paraId="1BEE7EA1" w14:textId="77777777" w:rsidR="00656847" w:rsidRDefault="00656847" w:rsidP="00656847">
      <w:pPr>
        <w:pStyle w:val="NoSpacing"/>
        <w:ind w:left="1080"/>
        <w:rPr>
          <w:rFonts w:ascii="Bahnschrift SemiLight" w:hAnsi="Bahnschrift SemiLight"/>
          <w:sz w:val="16"/>
          <w:szCs w:val="16"/>
        </w:rPr>
      </w:pPr>
    </w:p>
    <w:p w14:paraId="277CA295" w14:textId="77777777" w:rsidR="00656847" w:rsidRDefault="00656847" w:rsidP="00656847">
      <w:pPr>
        <w:pStyle w:val="NoSpacing"/>
        <w:ind w:left="1080"/>
        <w:rPr>
          <w:rFonts w:ascii="Bahnschrift SemiLight" w:hAnsi="Bahnschrift SemiLight"/>
          <w:sz w:val="16"/>
          <w:szCs w:val="16"/>
        </w:rPr>
      </w:pPr>
    </w:p>
    <w:p w14:paraId="7375FB87" w14:textId="77777777" w:rsidR="00656847" w:rsidRDefault="00656847" w:rsidP="00656847">
      <w:pPr>
        <w:pStyle w:val="NoSpacing"/>
        <w:ind w:left="1080"/>
        <w:rPr>
          <w:rFonts w:ascii="Bahnschrift SemiLight" w:hAnsi="Bahnschrift SemiLight"/>
          <w:sz w:val="16"/>
          <w:szCs w:val="16"/>
        </w:rPr>
      </w:pPr>
    </w:p>
    <w:p w14:paraId="103F5C3D" w14:textId="77777777" w:rsidR="00656847" w:rsidRDefault="00656847" w:rsidP="00656847">
      <w:pPr>
        <w:pStyle w:val="NoSpacing"/>
        <w:ind w:left="1080"/>
        <w:rPr>
          <w:rFonts w:ascii="Bahnschrift SemiLight" w:hAnsi="Bahnschrift SemiLight"/>
          <w:sz w:val="16"/>
          <w:szCs w:val="16"/>
        </w:rPr>
      </w:pPr>
    </w:p>
    <w:p w14:paraId="69C23CBE" w14:textId="77777777" w:rsidR="00656847" w:rsidRDefault="00656847" w:rsidP="00656847">
      <w:pPr>
        <w:pStyle w:val="NoSpacing"/>
        <w:ind w:left="1080"/>
        <w:rPr>
          <w:rFonts w:ascii="Bahnschrift SemiLight" w:hAnsi="Bahnschrift SemiLight"/>
          <w:sz w:val="16"/>
          <w:szCs w:val="16"/>
        </w:rPr>
      </w:pPr>
    </w:p>
    <w:p w14:paraId="5BA121C9" w14:textId="77777777" w:rsidR="00656847" w:rsidRDefault="00656847" w:rsidP="00656847">
      <w:pPr>
        <w:pStyle w:val="NoSpacing"/>
        <w:ind w:left="1080"/>
        <w:rPr>
          <w:rFonts w:ascii="Bahnschrift SemiLight" w:hAnsi="Bahnschrift SemiLight"/>
          <w:sz w:val="16"/>
          <w:szCs w:val="16"/>
        </w:rPr>
      </w:pPr>
    </w:p>
    <w:p w14:paraId="4F99F0EA" w14:textId="77777777" w:rsidR="00656847" w:rsidRDefault="00656847" w:rsidP="00656847">
      <w:pPr>
        <w:pStyle w:val="NoSpacing"/>
        <w:ind w:left="1080"/>
        <w:rPr>
          <w:rFonts w:ascii="Bahnschrift SemiLight" w:hAnsi="Bahnschrift SemiLight"/>
          <w:sz w:val="16"/>
          <w:szCs w:val="16"/>
        </w:rPr>
      </w:pPr>
    </w:p>
    <w:p w14:paraId="5FBC1321" w14:textId="77777777" w:rsidR="00656847" w:rsidRDefault="00656847" w:rsidP="00656847">
      <w:pPr>
        <w:pStyle w:val="NoSpacing"/>
        <w:ind w:left="1080"/>
        <w:rPr>
          <w:rFonts w:ascii="Bahnschrift SemiLight" w:hAnsi="Bahnschrift SemiLight"/>
          <w:sz w:val="16"/>
          <w:szCs w:val="16"/>
        </w:rPr>
      </w:pPr>
    </w:p>
    <w:p w14:paraId="4D36B5D3" w14:textId="77777777" w:rsidR="00656847" w:rsidRDefault="00656847" w:rsidP="00656847">
      <w:pPr>
        <w:pStyle w:val="NoSpacing"/>
        <w:ind w:left="1080"/>
        <w:rPr>
          <w:rFonts w:ascii="Bahnschrift SemiLight" w:hAnsi="Bahnschrift SemiLight"/>
          <w:sz w:val="16"/>
          <w:szCs w:val="16"/>
        </w:rPr>
      </w:pPr>
    </w:p>
    <w:p w14:paraId="46EA3B84" w14:textId="77777777" w:rsidR="00656847" w:rsidRDefault="00656847" w:rsidP="00656847">
      <w:pPr>
        <w:pStyle w:val="NoSpacing"/>
        <w:ind w:left="1080"/>
        <w:rPr>
          <w:rFonts w:ascii="Bahnschrift SemiLight" w:hAnsi="Bahnschrift SemiLight"/>
          <w:sz w:val="16"/>
          <w:szCs w:val="16"/>
        </w:rPr>
      </w:pPr>
    </w:p>
    <w:p w14:paraId="22FA04F5" w14:textId="77777777" w:rsidR="00656847" w:rsidRDefault="00656847" w:rsidP="00656847">
      <w:pPr>
        <w:pStyle w:val="NoSpacing"/>
        <w:numPr>
          <w:ilvl w:val="0"/>
          <w:numId w:val="38"/>
        </w:numPr>
        <w:tabs>
          <w:tab w:val="left" w:pos="2250"/>
        </w:tabs>
        <w:rPr>
          <w:rFonts w:ascii="Bahnschrift SemiLight" w:hAnsi="Bahnschrift SemiLight"/>
          <w:sz w:val="24"/>
          <w:szCs w:val="24"/>
        </w:rPr>
      </w:pPr>
      <w:r w:rsidRPr="00DA6C93">
        <w:rPr>
          <w:rFonts w:ascii="Cambria" w:hAnsi="Cambria"/>
          <w:b/>
          <w:sz w:val="24"/>
          <w:szCs w:val="24"/>
        </w:rPr>
        <w:lastRenderedPageBreak/>
        <w:t>Monitoring Reports and Workpapers</w:t>
      </w:r>
      <w:r w:rsidRPr="00DA3A5B">
        <w:rPr>
          <w:rFonts w:ascii="Bahnschrift SemiLight" w:hAnsi="Bahnschrift SemiLight"/>
          <w:sz w:val="24"/>
          <w:szCs w:val="24"/>
        </w:rPr>
        <w:t xml:space="preserve">: </w:t>
      </w:r>
      <w:r>
        <w:rPr>
          <w:rFonts w:ascii="Bahnschrift SemiLight" w:hAnsi="Bahnschrift SemiLight"/>
          <w:sz w:val="24"/>
          <w:szCs w:val="24"/>
        </w:rPr>
        <w:t>The following monitoring reports were considered in the conduct of this fiscal integrity evaluation:</w:t>
      </w:r>
    </w:p>
    <w:p w14:paraId="6C9CE1D9" w14:textId="77777777" w:rsidR="00656847" w:rsidRDefault="00656847" w:rsidP="00656847">
      <w:pPr>
        <w:pStyle w:val="NoSpacing"/>
        <w:numPr>
          <w:ilvl w:val="0"/>
          <w:numId w:val="44"/>
        </w:numPr>
        <w:rPr>
          <w:rFonts w:asciiTheme="majorHAnsi" w:eastAsia="Times New Roman" w:hAnsiTheme="majorHAnsi"/>
          <w:i/>
          <w:iCs/>
          <w:sz w:val="24"/>
          <w:szCs w:val="24"/>
        </w:rPr>
      </w:pPr>
      <w:r>
        <w:rPr>
          <w:rFonts w:asciiTheme="majorHAnsi" w:eastAsia="Times New Roman" w:hAnsiTheme="majorHAnsi"/>
          <w:i/>
          <w:iCs/>
          <w:sz w:val="24"/>
          <w:szCs w:val="24"/>
        </w:rPr>
        <w:t>DSA financial monitoring review report and associated workers for the year ending September 30, 2022</w:t>
      </w:r>
    </w:p>
    <w:p w14:paraId="59914089"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 xml:space="preserve">Texas Department of Transportation; Financial Monitoring Reports (4 reports for </w:t>
      </w:r>
      <w:r>
        <w:rPr>
          <w:rFonts w:asciiTheme="majorHAnsi" w:eastAsia="Times New Roman" w:hAnsiTheme="majorHAnsi"/>
          <w:i/>
          <w:iCs/>
          <w:sz w:val="24"/>
          <w:szCs w:val="24"/>
        </w:rPr>
        <w:t>FYE 2022</w:t>
      </w:r>
      <w:r w:rsidRPr="00CD79B7">
        <w:rPr>
          <w:rFonts w:asciiTheme="majorHAnsi" w:eastAsia="Times New Roman" w:hAnsiTheme="majorHAnsi"/>
          <w:i/>
          <w:iCs/>
          <w:sz w:val="24"/>
          <w:szCs w:val="24"/>
        </w:rPr>
        <w:t>)</w:t>
      </w:r>
    </w:p>
    <w:p w14:paraId="3465A79B" w14:textId="77777777" w:rsidR="00656847" w:rsidRPr="00DA6C93" w:rsidRDefault="00656847" w:rsidP="00656847">
      <w:pPr>
        <w:pStyle w:val="ListParagraph"/>
        <w:numPr>
          <w:ilvl w:val="0"/>
          <w:numId w:val="44"/>
        </w:numPr>
        <w:rPr>
          <w:rFonts w:ascii="Cambria" w:hAnsi="Cambria" w:cs="Calibri"/>
          <w:i/>
          <w:iCs/>
          <w:color w:val="000000"/>
        </w:rPr>
      </w:pPr>
      <w:r w:rsidRPr="00DA6C93">
        <w:rPr>
          <w:rFonts w:ascii="Cambria" w:hAnsi="Cambria" w:cs="Calibri"/>
          <w:i/>
          <w:iCs/>
          <w:color w:val="000000"/>
        </w:rPr>
        <w:t>Texas Veterans Commission; Letter Date: 3/14/2022; **Findings Indicated**</w:t>
      </w:r>
    </w:p>
    <w:p w14:paraId="3ADBA500" w14:textId="77777777" w:rsidR="00656847" w:rsidRPr="00DA6C93" w:rsidRDefault="00656847" w:rsidP="00656847">
      <w:pPr>
        <w:pStyle w:val="ListParagraph"/>
        <w:numPr>
          <w:ilvl w:val="0"/>
          <w:numId w:val="44"/>
        </w:numPr>
        <w:rPr>
          <w:rFonts w:ascii="Cambria" w:hAnsi="Cambria" w:cs="Calibri"/>
          <w:i/>
          <w:iCs/>
          <w:color w:val="000000"/>
        </w:rPr>
      </w:pPr>
      <w:r w:rsidRPr="00DA6C93">
        <w:rPr>
          <w:rFonts w:ascii="Cambria" w:hAnsi="Cambria" w:cs="Calibri"/>
          <w:i/>
          <w:iCs/>
          <w:color w:val="000000"/>
        </w:rPr>
        <w:t xml:space="preserve">Texas Veterans Commission; Letter Date: </w:t>
      </w:r>
      <w:r>
        <w:rPr>
          <w:rFonts w:ascii="Cambria" w:hAnsi="Cambria" w:cs="Calibri"/>
          <w:i/>
          <w:iCs/>
          <w:color w:val="000000"/>
        </w:rPr>
        <w:t>5</w:t>
      </w:r>
      <w:r w:rsidRPr="00DA6C93">
        <w:rPr>
          <w:rFonts w:ascii="Cambria" w:hAnsi="Cambria" w:cs="Calibri"/>
          <w:i/>
          <w:iCs/>
          <w:color w:val="000000"/>
        </w:rPr>
        <w:t>/</w:t>
      </w:r>
      <w:r>
        <w:rPr>
          <w:rFonts w:ascii="Cambria" w:hAnsi="Cambria" w:cs="Calibri"/>
          <w:i/>
          <w:iCs/>
          <w:color w:val="000000"/>
        </w:rPr>
        <w:t>6</w:t>
      </w:r>
      <w:r w:rsidRPr="00DA6C93">
        <w:rPr>
          <w:rFonts w:ascii="Cambria" w:hAnsi="Cambria" w:cs="Calibri"/>
          <w:i/>
          <w:iCs/>
          <w:color w:val="000000"/>
        </w:rPr>
        <w:t xml:space="preserve">/2022; **Findings </w:t>
      </w:r>
      <w:r>
        <w:rPr>
          <w:rFonts w:ascii="Cambria" w:hAnsi="Cambria" w:cs="Calibri"/>
          <w:i/>
          <w:iCs/>
          <w:color w:val="000000"/>
        </w:rPr>
        <w:t>Resolved</w:t>
      </w:r>
      <w:r w:rsidRPr="00DA6C93">
        <w:rPr>
          <w:rFonts w:ascii="Cambria" w:hAnsi="Cambria" w:cs="Calibri"/>
          <w:i/>
          <w:iCs/>
          <w:color w:val="000000"/>
        </w:rPr>
        <w:t>**</w:t>
      </w:r>
    </w:p>
    <w:p w14:paraId="1755B39D"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Texas Workforce Commission; Date</w:t>
      </w:r>
      <w:r>
        <w:rPr>
          <w:rFonts w:asciiTheme="majorHAnsi" w:eastAsia="Times New Roman" w:hAnsiTheme="majorHAnsi"/>
          <w:i/>
          <w:iCs/>
          <w:sz w:val="24"/>
          <w:szCs w:val="24"/>
        </w:rPr>
        <w:t>d</w:t>
      </w:r>
      <w:r w:rsidRPr="00CD79B7">
        <w:rPr>
          <w:rFonts w:asciiTheme="majorHAnsi" w:eastAsia="Times New Roman" w:hAnsiTheme="majorHAnsi"/>
          <w:i/>
          <w:iCs/>
          <w:sz w:val="24"/>
          <w:szCs w:val="24"/>
        </w:rPr>
        <w:t>: 1/29/21; Letter on North Texas Board’s equal opportunity compliance monitoring review</w:t>
      </w:r>
    </w:p>
    <w:p w14:paraId="4DD853DE"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-Richard Rogers, Board Monitor; Child Care Services Final Report; Date: 11/12/20</w:t>
      </w:r>
    </w:p>
    <w:p w14:paraId="7F165093"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-Administrative for Children and Families; Date: 6/4/20; Program Performance Summary Report</w:t>
      </w:r>
    </w:p>
    <w:p w14:paraId="161E0AF2"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-Texas Department of Transportation; Financial Monitoring Reports (14 reports for 2020 – 2021)</w:t>
      </w:r>
    </w:p>
    <w:p w14:paraId="19969CFD"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-Workforce Solutions North Texas; Review Date: 1/21/20 – 2/20/20; Monitoring of Disbursements, Procurement and Bank Reconciliations</w:t>
      </w:r>
    </w:p>
    <w:p w14:paraId="42115CCB" w14:textId="77777777" w:rsidR="00656847" w:rsidRPr="00CD79B7" w:rsidRDefault="00656847" w:rsidP="00656847">
      <w:pPr>
        <w:pStyle w:val="NoSpacing"/>
        <w:numPr>
          <w:ilvl w:val="0"/>
          <w:numId w:val="44"/>
        </w:numPr>
        <w:rPr>
          <w:rFonts w:asciiTheme="majorHAnsi" w:eastAsia="Times New Roman" w:hAnsiTheme="majorHAnsi"/>
          <w:i/>
          <w:iCs/>
          <w:sz w:val="24"/>
          <w:szCs w:val="24"/>
        </w:rPr>
      </w:pPr>
      <w:r w:rsidRPr="00CD79B7">
        <w:rPr>
          <w:rFonts w:asciiTheme="majorHAnsi" w:eastAsia="Times New Roman" w:hAnsiTheme="majorHAnsi"/>
          <w:i/>
          <w:iCs/>
          <w:sz w:val="24"/>
          <w:szCs w:val="24"/>
        </w:rPr>
        <w:t>-Texas Department of Housing and Community Affairs; Date: 3/9/21</w:t>
      </w:r>
    </w:p>
    <w:p w14:paraId="2F21AB25" w14:textId="77777777" w:rsidR="00656847" w:rsidRPr="00DB6FB6" w:rsidRDefault="00656847" w:rsidP="00656847">
      <w:pPr>
        <w:pStyle w:val="NoSpacing"/>
        <w:rPr>
          <w:rFonts w:ascii="Bahnschrift SemiLight" w:hAnsi="Bahnschrift SemiLight"/>
          <w:sz w:val="16"/>
          <w:szCs w:val="16"/>
        </w:rPr>
      </w:pPr>
    </w:p>
    <w:p w14:paraId="39AF6449" w14:textId="77777777" w:rsidR="00656847" w:rsidRPr="00DA6C93" w:rsidRDefault="00656847" w:rsidP="00656847">
      <w:pPr>
        <w:pStyle w:val="NoSpacing"/>
        <w:numPr>
          <w:ilvl w:val="0"/>
          <w:numId w:val="38"/>
        </w:numPr>
        <w:rPr>
          <w:rFonts w:ascii="Bahnschrift SemiLight" w:hAnsi="Bahnschrift SemiLight"/>
          <w:color w:val="FF0000"/>
          <w:sz w:val="24"/>
          <w:szCs w:val="24"/>
        </w:rPr>
      </w:pPr>
      <w:r w:rsidRPr="00DA6C93">
        <w:rPr>
          <w:rFonts w:ascii="Cambria" w:hAnsi="Cambria"/>
          <w:b/>
          <w:sz w:val="24"/>
          <w:szCs w:val="24"/>
        </w:rPr>
        <w:t>Cost Allocation</w:t>
      </w:r>
      <w:r w:rsidRPr="00DA6C93">
        <w:rPr>
          <w:rFonts w:ascii="Bahnschrift SemiLight" w:hAnsi="Bahnschrift SemiLight"/>
          <w:sz w:val="24"/>
          <w:szCs w:val="24"/>
        </w:rPr>
        <w:t xml:space="preserve">: </w:t>
      </w:r>
      <w:r w:rsidRPr="00CD79B7">
        <w:rPr>
          <w:rFonts w:ascii="Bahnschrift SemiLight" w:hAnsi="Bahnschrift SemiLight"/>
          <w:sz w:val="24"/>
          <w:szCs w:val="24"/>
        </w:rPr>
        <w:t>RPMC provided its</w:t>
      </w:r>
      <w:r>
        <w:rPr>
          <w:rFonts w:ascii="Bahnschrift SemiLight" w:hAnsi="Bahnschrift SemiLight"/>
          <w:sz w:val="24"/>
          <w:szCs w:val="24"/>
        </w:rPr>
        <w:t xml:space="preserve"> Cost Allocation Plan for the for the fiscal year 2022</w:t>
      </w:r>
      <w:r w:rsidRPr="00DA6C93">
        <w:rPr>
          <w:rFonts w:ascii="Bahnschrift SemiLight" w:hAnsi="Bahnschrift SemiLight"/>
          <w:sz w:val="24"/>
          <w:szCs w:val="24"/>
        </w:rPr>
        <w:t>. The plan was executed</w:t>
      </w:r>
      <w:r w:rsidRPr="00DA6C93">
        <w:rPr>
          <w:rFonts w:ascii="Bahnschrift SemiLight" w:hAnsi="Bahnschrift SemiLight"/>
          <w:sz w:val="16"/>
          <w:szCs w:val="16"/>
        </w:rPr>
        <w:t xml:space="preserve"> </w:t>
      </w:r>
      <w:r w:rsidRPr="00DA6C93">
        <w:rPr>
          <w:rFonts w:ascii="Bahnschrift SemiLight" w:hAnsi="Bahnschrift SemiLight"/>
          <w:sz w:val="24"/>
          <w:szCs w:val="24"/>
        </w:rPr>
        <w:t>on</w:t>
      </w:r>
      <w:r>
        <w:rPr>
          <w:rFonts w:ascii="Bahnschrift SemiLight" w:hAnsi="Bahnschrift SemiLight"/>
          <w:sz w:val="16"/>
          <w:szCs w:val="16"/>
        </w:rPr>
        <w:t xml:space="preserve"> </w:t>
      </w:r>
      <w:r w:rsidRPr="00DA6C93">
        <w:rPr>
          <w:rFonts w:ascii="Bahnschrift SemiLight" w:hAnsi="Bahnschrift SemiLight"/>
          <w:sz w:val="24"/>
          <w:szCs w:val="24"/>
        </w:rPr>
        <w:t>December 1, 2021.</w:t>
      </w:r>
    </w:p>
    <w:p w14:paraId="18A7270E" w14:textId="77777777" w:rsidR="00656847" w:rsidRPr="00DA6C93" w:rsidRDefault="00656847" w:rsidP="00656847">
      <w:pPr>
        <w:pStyle w:val="NoSpacing"/>
        <w:ind w:left="360"/>
        <w:rPr>
          <w:rFonts w:ascii="Bahnschrift SemiLight" w:hAnsi="Bahnschrift SemiLight"/>
          <w:color w:val="FF0000"/>
          <w:sz w:val="16"/>
          <w:szCs w:val="16"/>
        </w:rPr>
      </w:pPr>
    </w:p>
    <w:p w14:paraId="5F91F217" w14:textId="77777777" w:rsidR="00656847" w:rsidRPr="00CD79B7" w:rsidRDefault="00656847" w:rsidP="00656847">
      <w:pPr>
        <w:pStyle w:val="NoSpacing"/>
        <w:numPr>
          <w:ilvl w:val="0"/>
          <w:numId w:val="38"/>
        </w:numPr>
        <w:rPr>
          <w:rFonts w:asciiTheme="majorHAnsi" w:hAnsiTheme="majorHAnsi"/>
          <w:sz w:val="24"/>
          <w:szCs w:val="24"/>
          <w:u w:val="single"/>
        </w:rPr>
      </w:pPr>
      <w:r w:rsidRPr="00DA6C93">
        <w:rPr>
          <w:rFonts w:ascii="Cambria" w:hAnsi="Cambria"/>
          <w:b/>
          <w:bCs/>
          <w:sz w:val="24"/>
          <w:szCs w:val="24"/>
        </w:rPr>
        <w:t>IRS Form 990</w:t>
      </w:r>
      <w:r w:rsidRPr="00CD79B7">
        <w:rPr>
          <w:rFonts w:ascii="Bahnschrift SemiLight" w:hAnsi="Bahnschrift SemiLight"/>
          <w:sz w:val="24"/>
          <w:szCs w:val="24"/>
        </w:rPr>
        <w:t xml:space="preserve">:  RPMC provided its IRS form 990 and supporting schedules for the </w:t>
      </w:r>
      <w:r>
        <w:rPr>
          <w:rFonts w:ascii="Bahnschrift SemiLight" w:hAnsi="Bahnschrift SemiLight"/>
          <w:sz w:val="24"/>
          <w:szCs w:val="24"/>
        </w:rPr>
        <w:t xml:space="preserve">2019, and 2018 </w:t>
      </w:r>
      <w:r w:rsidRPr="00CD79B7">
        <w:rPr>
          <w:rFonts w:ascii="Bahnschrift SemiLight" w:hAnsi="Bahnschrift SemiLight"/>
          <w:sz w:val="24"/>
          <w:szCs w:val="24"/>
        </w:rPr>
        <w:t>year</w:t>
      </w:r>
      <w:r>
        <w:rPr>
          <w:rFonts w:ascii="Bahnschrift SemiLight" w:hAnsi="Bahnschrift SemiLight"/>
          <w:sz w:val="24"/>
          <w:szCs w:val="24"/>
        </w:rPr>
        <w:t>s.</w:t>
      </w:r>
    </w:p>
    <w:p w14:paraId="7D014A6C" w14:textId="77777777" w:rsidR="00656847" w:rsidRPr="00DB1A24" w:rsidRDefault="00656847" w:rsidP="00656847">
      <w:pPr>
        <w:pStyle w:val="NoSpacing"/>
        <w:ind w:left="720"/>
        <w:rPr>
          <w:rFonts w:ascii="Bahnschrift SemiLight" w:hAnsi="Bahnschrift SemiLight"/>
          <w:sz w:val="16"/>
          <w:szCs w:val="16"/>
          <w:u w:val="single"/>
        </w:rPr>
      </w:pPr>
    </w:p>
    <w:p w14:paraId="35910AEB" w14:textId="77777777" w:rsidR="00656847" w:rsidRPr="000E755D" w:rsidRDefault="00656847" w:rsidP="00656847">
      <w:pPr>
        <w:pStyle w:val="ListParagraph"/>
        <w:numPr>
          <w:ilvl w:val="0"/>
          <w:numId w:val="38"/>
        </w:numPr>
        <w:rPr>
          <w:rFonts w:ascii="Bahnschrift SemiLight" w:hAnsi="Bahnschrift SemiLight" w:cs="Calibri"/>
          <w:color w:val="000000"/>
        </w:rPr>
      </w:pPr>
      <w:r w:rsidRPr="00DA6C93">
        <w:rPr>
          <w:rFonts w:ascii="Cambria" w:hAnsi="Cambria"/>
          <w:b/>
        </w:rPr>
        <w:t>Insurance</w:t>
      </w:r>
      <w:r w:rsidRPr="000E755D">
        <w:rPr>
          <w:rFonts w:ascii="Bahnschrift SemiLight" w:hAnsi="Bahnschrift SemiLight"/>
          <w:b/>
        </w:rPr>
        <w:t xml:space="preserve">: </w:t>
      </w:r>
      <w:r w:rsidRPr="000E755D">
        <w:rPr>
          <w:rFonts w:ascii="Bahnschrift SemiLight" w:hAnsi="Bahnschrift SemiLight"/>
        </w:rPr>
        <w:t xml:space="preserve">The RPMC provided its </w:t>
      </w:r>
      <w:r>
        <w:rPr>
          <w:rFonts w:asciiTheme="majorHAnsi" w:hAnsiTheme="majorHAnsi"/>
          <w:i/>
          <w:iCs/>
        </w:rPr>
        <w:t xml:space="preserve">Certificate of Liability </w:t>
      </w:r>
      <w:r w:rsidRPr="000E755D">
        <w:rPr>
          <w:rFonts w:asciiTheme="majorHAnsi" w:hAnsiTheme="majorHAnsi"/>
          <w:i/>
          <w:iCs/>
        </w:rPr>
        <w:t xml:space="preserve">Insurance </w:t>
      </w:r>
      <w:r w:rsidRPr="000E755D">
        <w:rPr>
          <w:rFonts w:ascii="Bahnschrift SemiLight" w:hAnsi="Bahnschrift SemiLight" w:cs="Calibri"/>
          <w:color w:val="000000"/>
        </w:rPr>
        <w:t xml:space="preserve">for the period </w:t>
      </w:r>
      <w:r>
        <w:rPr>
          <w:rFonts w:ascii="Bahnschrift SemiLight" w:hAnsi="Bahnschrift SemiLight" w:cs="Calibri"/>
          <w:color w:val="000000"/>
        </w:rPr>
        <w:t>March</w:t>
      </w:r>
      <w:r w:rsidRPr="000E755D">
        <w:rPr>
          <w:rFonts w:ascii="Bahnschrift SemiLight" w:hAnsi="Bahnschrift SemiLight" w:cs="Calibri"/>
          <w:color w:val="000000"/>
        </w:rPr>
        <w:t xml:space="preserve"> 1</w:t>
      </w:r>
      <w:r>
        <w:rPr>
          <w:rFonts w:ascii="Bahnschrift SemiLight" w:hAnsi="Bahnschrift SemiLight" w:cs="Calibri"/>
          <w:color w:val="000000"/>
        </w:rPr>
        <w:t>7</w:t>
      </w:r>
      <w:r w:rsidRPr="000E755D">
        <w:rPr>
          <w:rFonts w:ascii="Bahnschrift SemiLight" w:hAnsi="Bahnschrift SemiLight" w:cs="Calibri"/>
          <w:color w:val="000000"/>
        </w:rPr>
        <w:t>, 202</w:t>
      </w:r>
      <w:r>
        <w:rPr>
          <w:rFonts w:ascii="Bahnschrift SemiLight" w:hAnsi="Bahnschrift SemiLight" w:cs="Calibri"/>
          <w:color w:val="000000"/>
        </w:rPr>
        <w:t>2</w:t>
      </w:r>
      <w:r w:rsidRPr="000E755D">
        <w:rPr>
          <w:rFonts w:ascii="Bahnschrift SemiLight" w:hAnsi="Bahnschrift SemiLight" w:cs="Calibri"/>
          <w:color w:val="000000"/>
        </w:rPr>
        <w:t xml:space="preserve"> through </w:t>
      </w:r>
      <w:r>
        <w:rPr>
          <w:rFonts w:ascii="Bahnschrift SemiLight" w:hAnsi="Bahnschrift SemiLight" w:cs="Calibri"/>
          <w:color w:val="000000"/>
        </w:rPr>
        <w:t xml:space="preserve">March </w:t>
      </w:r>
      <w:r w:rsidRPr="000E755D">
        <w:rPr>
          <w:rFonts w:ascii="Bahnschrift SemiLight" w:hAnsi="Bahnschrift SemiLight" w:cs="Calibri"/>
          <w:color w:val="000000"/>
        </w:rPr>
        <w:t>1</w:t>
      </w:r>
      <w:r>
        <w:rPr>
          <w:rFonts w:ascii="Bahnschrift SemiLight" w:hAnsi="Bahnschrift SemiLight" w:cs="Calibri"/>
          <w:color w:val="000000"/>
        </w:rPr>
        <w:t>7</w:t>
      </w:r>
      <w:r w:rsidRPr="000E755D">
        <w:rPr>
          <w:rFonts w:ascii="Bahnschrift SemiLight" w:hAnsi="Bahnschrift SemiLight" w:cs="Calibri"/>
          <w:color w:val="000000"/>
        </w:rPr>
        <w:t>, 202</w:t>
      </w:r>
      <w:r>
        <w:rPr>
          <w:rFonts w:ascii="Bahnschrift SemiLight" w:hAnsi="Bahnschrift SemiLight" w:cs="Calibri"/>
          <w:color w:val="000000"/>
        </w:rPr>
        <w:t>3 reflecting the following coverages.</w:t>
      </w:r>
    </w:p>
    <w:p w14:paraId="185CB29D" w14:textId="77777777" w:rsidR="00656847" w:rsidRPr="00651A8E" w:rsidRDefault="00656847" w:rsidP="00656847">
      <w:pPr>
        <w:pStyle w:val="NoSpacing"/>
        <w:ind w:left="720"/>
        <w:rPr>
          <w:rFonts w:ascii="Bahnschrift SemiLight" w:hAnsi="Bahnschrift SemiLight"/>
          <w:sz w:val="16"/>
          <w:szCs w:val="16"/>
          <w:u w:val="single"/>
        </w:rPr>
      </w:pPr>
    </w:p>
    <w:tbl>
      <w:tblPr>
        <w:tblW w:w="8711" w:type="dxa"/>
        <w:tblInd w:w="602" w:type="dxa"/>
        <w:tblLook w:val="04A0" w:firstRow="1" w:lastRow="0" w:firstColumn="1" w:lastColumn="0" w:noHBand="0" w:noVBand="1"/>
      </w:tblPr>
      <w:tblGrid>
        <w:gridCol w:w="4080"/>
        <w:gridCol w:w="2980"/>
        <w:gridCol w:w="1651"/>
      </w:tblGrid>
      <w:tr w:rsidR="00656847" w:rsidRPr="00E72B59" w14:paraId="5F1E6A08" w14:textId="77777777" w:rsidTr="00D5022B">
        <w:trPr>
          <w:trHeight w:val="310"/>
        </w:trPr>
        <w:tc>
          <w:tcPr>
            <w:tcW w:w="4080" w:type="dxa"/>
            <w:tcBorders>
              <w:top w:val="single" w:sz="8" w:space="0" w:color="auto"/>
              <w:left w:val="single" w:sz="8" w:space="0" w:color="auto"/>
              <w:bottom w:val="single" w:sz="8" w:space="0" w:color="auto"/>
              <w:right w:val="nil"/>
            </w:tcBorders>
            <w:shd w:val="clear" w:color="auto" w:fill="FDE9D9" w:themeFill="accent6" w:themeFillTint="33"/>
            <w:noWrap/>
            <w:vAlign w:val="center"/>
            <w:hideMark/>
          </w:tcPr>
          <w:p w14:paraId="373CF153" w14:textId="77777777" w:rsidR="00656847" w:rsidRPr="00E72B59" w:rsidRDefault="00656847" w:rsidP="00960383">
            <w:pPr>
              <w:jc w:val="center"/>
              <w:rPr>
                <w:rFonts w:ascii="Bahnschrift SemiLight" w:hAnsi="Bahnschrift SemiLight"/>
                <w:b/>
                <w:bCs/>
                <w:color w:val="000000"/>
              </w:rPr>
            </w:pPr>
            <w:r w:rsidRPr="00E72B59">
              <w:rPr>
                <w:rFonts w:ascii="Bahnschrift SemiLight" w:hAnsi="Bahnschrift SemiLight" w:cs="Calibri"/>
                <w:b/>
                <w:bCs/>
                <w:color w:val="000000"/>
              </w:rPr>
              <w:t>Type of Insurance</w:t>
            </w:r>
          </w:p>
        </w:tc>
        <w:tc>
          <w:tcPr>
            <w:tcW w:w="4631" w:type="dxa"/>
            <w:gridSpan w:val="2"/>
            <w:tcBorders>
              <w:top w:val="single" w:sz="8" w:space="0" w:color="auto"/>
              <w:left w:val="single" w:sz="8" w:space="0" w:color="auto"/>
              <w:bottom w:val="single" w:sz="8" w:space="0" w:color="auto"/>
              <w:right w:val="single" w:sz="8" w:space="0" w:color="000000"/>
            </w:tcBorders>
            <w:shd w:val="clear" w:color="auto" w:fill="FDE9D9" w:themeFill="accent6" w:themeFillTint="33"/>
            <w:noWrap/>
            <w:vAlign w:val="center"/>
            <w:hideMark/>
          </w:tcPr>
          <w:p w14:paraId="3802D126" w14:textId="77777777" w:rsidR="00656847" w:rsidRPr="00E72B59" w:rsidRDefault="00656847" w:rsidP="00960383">
            <w:pPr>
              <w:jc w:val="center"/>
              <w:rPr>
                <w:rFonts w:ascii="Bahnschrift SemiLight" w:hAnsi="Bahnschrift SemiLight"/>
                <w:b/>
                <w:bCs/>
                <w:color w:val="000000"/>
              </w:rPr>
            </w:pPr>
            <w:r w:rsidRPr="00E72B59">
              <w:rPr>
                <w:rFonts w:ascii="Bahnschrift SemiLight" w:hAnsi="Bahnschrift SemiLight" w:cs="Calibri"/>
                <w:b/>
                <w:bCs/>
                <w:color w:val="000000"/>
              </w:rPr>
              <w:t>Limits</w:t>
            </w:r>
          </w:p>
        </w:tc>
      </w:tr>
      <w:tr w:rsidR="00656847" w:rsidRPr="00E72B59" w14:paraId="5D5B2373"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2CD69CD5" w14:textId="77777777" w:rsidR="00656847" w:rsidRPr="00E72B59" w:rsidRDefault="00656847" w:rsidP="00960383">
            <w:pPr>
              <w:jc w:val="center"/>
              <w:rPr>
                <w:rFonts w:ascii="Bahnschrift SemiLight" w:hAnsi="Bahnschrift SemiLight"/>
                <w:b/>
                <w:bCs/>
                <w:color w:val="000000"/>
              </w:rPr>
            </w:pPr>
            <w:r w:rsidRPr="00E72B59">
              <w:rPr>
                <w:rFonts w:ascii="Bahnschrift SemiLight" w:hAnsi="Bahnschrift SemiLight" w:cs="Calibri"/>
                <w:b/>
                <w:bCs/>
                <w:color w:val="000000"/>
              </w:rPr>
              <w:t>Commercial General Liability</w:t>
            </w:r>
          </w:p>
        </w:tc>
        <w:tc>
          <w:tcPr>
            <w:tcW w:w="2980" w:type="dxa"/>
            <w:tcBorders>
              <w:top w:val="nil"/>
              <w:left w:val="nil"/>
              <w:bottom w:val="nil"/>
              <w:right w:val="nil"/>
            </w:tcBorders>
            <w:shd w:val="clear" w:color="auto" w:fill="auto"/>
            <w:noWrap/>
            <w:vAlign w:val="center"/>
            <w:hideMark/>
          </w:tcPr>
          <w:p w14:paraId="404B6EBF"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each occurrence</w:t>
            </w:r>
          </w:p>
        </w:tc>
        <w:tc>
          <w:tcPr>
            <w:tcW w:w="1651" w:type="dxa"/>
            <w:tcBorders>
              <w:top w:val="nil"/>
              <w:left w:val="nil"/>
              <w:bottom w:val="nil"/>
              <w:right w:val="single" w:sz="8" w:space="0" w:color="auto"/>
            </w:tcBorders>
            <w:shd w:val="clear" w:color="auto" w:fill="auto"/>
            <w:noWrap/>
            <w:vAlign w:val="center"/>
            <w:hideMark/>
          </w:tcPr>
          <w:p w14:paraId="28E46749"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w:t>
            </w:r>
            <w:r w:rsidRPr="00E72B59">
              <w:rPr>
                <w:rFonts w:ascii="Bahnschrift SemiLight" w:hAnsi="Bahnschrift SemiLight" w:cs="Calibri"/>
                <w:color w:val="000000"/>
              </w:rPr>
              <w:t>,000,000.00</w:t>
            </w:r>
          </w:p>
        </w:tc>
      </w:tr>
      <w:tr w:rsidR="00656847" w:rsidRPr="00E72B59" w14:paraId="5399D19E"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0C6BDB02" w14:textId="77777777" w:rsidR="00656847" w:rsidRPr="00E72B59" w:rsidRDefault="00656847" w:rsidP="00960383">
            <w:pPr>
              <w:jc w:val="center"/>
              <w:rPr>
                <w:rFonts w:ascii="Bahnschrift SemiLight" w:hAnsi="Bahnschrift SemiLight"/>
                <w:color w:val="000000"/>
              </w:rPr>
            </w:pPr>
            <w:r w:rsidRPr="00E72B59">
              <w:rPr>
                <w:rFonts w:ascii="Bahnschrift SemiLight" w:hAnsi="Bahnschrift SemiLight" w:cs="Calibri"/>
                <w:color w:val="000000"/>
              </w:rPr>
              <w:t>Damage to rented premises</w:t>
            </w:r>
          </w:p>
        </w:tc>
        <w:tc>
          <w:tcPr>
            <w:tcW w:w="2980" w:type="dxa"/>
            <w:tcBorders>
              <w:top w:val="nil"/>
              <w:left w:val="nil"/>
              <w:bottom w:val="nil"/>
              <w:right w:val="nil"/>
            </w:tcBorders>
            <w:shd w:val="clear" w:color="auto" w:fill="auto"/>
            <w:noWrap/>
            <w:vAlign w:val="center"/>
            <w:hideMark/>
          </w:tcPr>
          <w:p w14:paraId="20BD823E"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each occurrence</w:t>
            </w:r>
          </w:p>
        </w:tc>
        <w:tc>
          <w:tcPr>
            <w:tcW w:w="1651" w:type="dxa"/>
            <w:tcBorders>
              <w:top w:val="nil"/>
              <w:left w:val="nil"/>
              <w:bottom w:val="nil"/>
              <w:right w:val="single" w:sz="8" w:space="0" w:color="auto"/>
            </w:tcBorders>
            <w:shd w:val="clear" w:color="auto" w:fill="auto"/>
            <w:noWrap/>
            <w:vAlign w:val="center"/>
            <w:hideMark/>
          </w:tcPr>
          <w:p w14:paraId="213A45F0"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w:t>
            </w:r>
            <w:r w:rsidRPr="00E72B59">
              <w:rPr>
                <w:rFonts w:ascii="Bahnschrift SemiLight" w:hAnsi="Bahnschrift SemiLight" w:cs="Calibri"/>
                <w:color w:val="000000"/>
              </w:rPr>
              <w:t>00,000.00</w:t>
            </w:r>
          </w:p>
        </w:tc>
      </w:tr>
      <w:tr w:rsidR="00656847" w:rsidRPr="00E72B59" w14:paraId="0BAE699B"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4F0B7489" w14:textId="77777777" w:rsidR="00656847" w:rsidRPr="00E72B59" w:rsidRDefault="00656847" w:rsidP="00960383">
            <w:pPr>
              <w:jc w:val="center"/>
              <w:rPr>
                <w:rFonts w:ascii="Bahnschrift SemiLight" w:hAnsi="Bahnschrift SemiLight"/>
                <w:color w:val="000000"/>
              </w:rPr>
            </w:pPr>
            <w:r w:rsidRPr="00E72B59">
              <w:rPr>
                <w:rFonts w:ascii="Bahnschrift SemiLight" w:hAnsi="Bahnschrift SemiLight" w:cs="Calibri"/>
                <w:color w:val="000000"/>
              </w:rPr>
              <w:t>Medical Expenses</w:t>
            </w:r>
          </w:p>
        </w:tc>
        <w:tc>
          <w:tcPr>
            <w:tcW w:w="2980" w:type="dxa"/>
            <w:tcBorders>
              <w:top w:val="nil"/>
              <w:left w:val="nil"/>
              <w:bottom w:val="nil"/>
              <w:right w:val="nil"/>
            </w:tcBorders>
            <w:shd w:val="clear" w:color="auto" w:fill="auto"/>
            <w:noWrap/>
            <w:vAlign w:val="center"/>
            <w:hideMark/>
          </w:tcPr>
          <w:p w14:paraId="05829952"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any one person</w:t>
            </w:r>
          </w:p>
        </w:tc>
        <w:tc>
          <w:tcPr>
            <w:tcW w:w="1651" w:type="dxa"/>
            <w:tcBorders>
              <w:top w:val="nil"/>
              <w:left w:val="nil"/>
              <w:bottom w:val="nil"/>
              <w:right w:val="single" w:sz="8" w:space="0" w:color="auto"/>
            </w:tcBorders>
            <w:shd w:val="clear" w:color="auto" w:fill="auto"/>
            <w:noWrap/>
            <w:vAlign w:val="center"/>
            <w:hideMark/>
          </w:tcPr>
          <w:p w14:paraId="7E408154"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5</w:t>
            </w:r>
            <w:r w:rsidRPr="00E72B59">
              <w:rPr>
                <w:rFonts w:ascii="Bahnschrift SemiLight" w:hAnsi="Bahnschrift SemiLight" w:cs="Calibri"/>
                <w:color w:val="000000"/>
              </w:rPr>
              <w:t>,000.00</w:t>
            </w:r>
          </w:p>
        </w:tc>
      </w:tr>
      <w:tr w:rsidR="00656847" w:rsidRPr="00E72B59" w14:paraId="6E7E3D1A"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3D161CFA" w14:textId="77777777" w:rsidR="00656847" w:rsidRPr="00E72B59" w:rsidRDefault="00656847" w:rsidP="00960383">
            <w:pPr>
              <w:jc w:val="center"/>
              <w:rPr>
                <w:rFonts w:ascii="Bahnschrift SemiLight" w:hAnsi="Bahnschrift SemiLight"/>
                <w:color w:val="000000"/>
              </w:rPr>
            </w:pPr>
          </w:p>
        </w:tc>
        <w:tc>
          <w:tcPr>
            <w:tcW w:w="2980" w:type="dxa"/>
            <w:tcBorders>
              <w:top w:val="nil"/>
              <w:left w:val="nil"/>
              <w:bottom w:val="nil"/>
              <w:right w:val="nil"/>
            </w:tcBorders>
            <w:shd w:val="clear" w:color="auto" w:fill="auto"/>
            <w:noWrap/>
            <w:vAlign w:val="center"/>
            <w:hideMark/>
          </w:tcPr>
          <w:p w14:paraId="1462691B"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Personal and ADV injury</w:t>
            </w:r>
          </w:p>
        </w:tc>
        <w:tc>
          <w:tcPr>
            <w:tcW w:w="1651" w:type="dxa"/>
            <w:tcBorders>
              <w:top w:val="nil"/>
              <w:left w:val="nil"/>
              <w:bottom w:val="nil"/>
              <w:right w:val="single" w:sz="8" w:space="0" w:color="auto"/>
            </w:tcBorders>
            <w:shd w:val="clear" w:color="auto" w:fill="auto"/>
            <w:noWrap/>
            <w:vAlign w:val="center"/>
            <w:hideMark/>
          </w:tcPr>
          <w:p w14:paraId="1E66F2D3"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w:t>
            </w:r>
            <w:r w:rsidRPr="00E72B59">
              <w:rPr>
                <w:rFonts w:ascii="Bahnschrift SemiLight" w:hAnsi="Bahnschrift SemiLight" w:cs="Calibri"/>
                <w:color w:val="000000"/>
              </w:rPr>
              <w:t>,000,000.00</w:t>
            </w:r>
          </w:p>
        </w:tc>
      </w:tr>
      <w:tr w:rsidR="00656847" w:rsidRPr="00E72B59" w14:paraId="10A8E633"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7BFAEDFA" w14:textId="77777777" w:rsidR="00656847" w:rsidRPr="00E72B59" w:rsidRDefault="00656847" w:rsidP="00960383">
            <w:pPr>
              <w:jc w:val="center"/>
              <w:rPr>
                <w:rFonts w:ascii="Bahnschrift SemiLight" w:hAnsi="Bahnschrift SemiLight"/>
                <w:color w:val="000000"/>
              </w:rPr>
            </w:pPr>
          </w:p>
        </w:tc>
        <w:tc>
          <w:tcPr>
            <w:tcW w:w="2980" w:type="dxa"/>
            <w:tcBorders>
              <w:top w:val="nil"/>
              <w:left w:val="nil"/>
              <w:bottom w:val="nil"/>
              <w:right w:val="nil"/>
            </w:tcBorders>
            <w:shd w:val="clear" w:color="auto" w:fill="auto"/>
            <w:noWrap/>
            <w:vAlign w:val="center"/>
            <w:hideMark/>
          </w:tcPr>
          <w:p w14:paraId="64888070"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general aggregate</w:t>
            </w:r>
          </w:p>
        </w:tc>
        <w:tc>
          <w:tcPr>
            <w:tcW w:w="1651" w:type="dxa"/>
            <w:tcBorders>
              <w:top w:val="nil"/>
              <w:left w:val="nil"/>
              <w:bottom w:val="nil"/>
              <w:right w:val="single" w:sz="8" w:space="0" w:color="auto"/>
            </w:tcBorders>
            <w:shd w:val="clear" w:color="auto" w:fill="auto"/>
            <w:noWrap/>
            <w:vAlign w:val="center"/>
            <w:hideMark/>
          </w:tcPr>
          <w:p w14:paraId="63B422D3"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3</w:t>
            </w:r>
            <w:r w:rsidRPr="00E72B59">
              <w:rPr>
                <w:rFonts w:ascii="Bahnschrift SemiLight" w:hAnsi="Bahnschrift SemiLight" w:cs="Calibri"/>
                <w:color w:val="000000"/>
              </w:rPr>
              <w:t>,000,000.00</w:t>
            </w:r>
          </w:p>
        </w:tc>
      </w:tr>
      <w:tr w:rsidR="00656847" w:rsidRPr="00E72B59" w14:paraId="54D61B9C" w14:textId="77777777" w:rsidTr="00960383">
        <w:trPr>
          <w:trHeight w:val="310"/>
        </w:trPr>
        <w:tc>
          <w:tcPr>
            <w:tcW w:w="4080" w:type="dxa"/>
            <w:tcBorders>
              <w:top w:val="nil"/>
              <w:left w:val="single" w:sz="8" w:space="0" w:color="auto"/>
              <w:bottom w:val="single" w:sz="8" w:space="0" w:color="auto"/>
              <w:right w:val="nil"/>
            </w:tcBorders>
            <w:shd w:val="clear" w:color="auto" w:fill="auto"/>
            <w:noWrap/>
            <w:vAlign w:val="center"/>
            <w:hideMark/>
          </w:tcPr>
          <w:p w14:paraId="3A93FB6F" w14:textId="77777777" w:rsidR="00656847" w:rsidRPr="00E72B59" w:rsidRDefault="00656847" w:rsidP="00960383">
            <w:pPr>
              <w:jc w:val="center"/>
              <w:rPr>
                <w:rFonts w:ascii="Bahnschrift SemiLight" w:hAnsi="Bahnschrift SemiLight"/>
                <w:color w:val="000000"/>
              </w:rPr>
            </w:pPr>
          </w:p>
        </w:tc>
        <w:tc>
          <w:tcPr>
            <w:tcW w:w="2980" w:type="dxa"/>
            <w:tcBorders>
              <w:top w:val="nil"/>
              <w:left w:val="nil"/>
              <w:bottom w:val="single" w:sz="8" w:space="0" w:color="auto"/>
              <w:right w:val="nil"/>
            </w:tcBorders>
            <w:shd w:val="clear" w:color="auto" w:fill="auto"/>
            <w:noWrap/>
            <w:vAlign w:val="center"/>
            <w:hideMark/>
          </w:tcPr>
          <w:p w14:paraId="5A21A10C"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Products</w:t>
            </w:r>
          </w:p>
        </w:tc>
        <w:tc>
          <w:tcPr>
            <w:tcW w:w="1651" w:type="dxa"/>
            <w:tcBorders>
              <w:top w:val="nil"/>
              <w:left w:val="nil"/>
              <w:bottom w:val="single" w:sz="8" w:space="0" w:color="auto"/>
              <w:right w:val="single" w:sz="8" w:space="0" w:color="auto"/>
            </w:tcBorders>
            <w:shd w:val="clear" w:color="auto" w:fill="auto"/>
            <w:noWrap/>
            <w:vAlign w:val="center"/>
            <w:hideMark/>
          </w:tcPr>
          <w:p w14:paraId="572C2D63"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3</w:t>
            </w:r>
            <w:r w:rsidRPr="00E72B59">
              <w:rPr>
                <w:rFonts w:ascii="Bahnschrift SemiLight" w:hAnsi="Bahnschrift SemiLight" w:cs="Calibri"/>
                <w:color w:val="000000"/>
              </w:rPr>
              <w:t>,000,000.00</w:t>
            </w:r>
          </w:p>
        </w:tc>
      </w:tr>
      <w:tr w:rsidR="00656847" w:rsidRPr="00E72B59" w14:paraId="510F8A7F" w14:textId="77777777" w:rsidTr="00960383">
        <w:trPr>
          <w:trHeight w:val="97"/>
        </w:trPr>
        <w:tc>
          <w:tcPr>
            <w:tcW w:w="4080" w:type="dxa"/>
            <w:tcBorders>
              <w:top w:val="nil"/>
              <w:left w:val="single" w:sz="8" w:space="0" w:color="auto"/>
              <w:bottom w:val="single" w:sz="8" w:space="0" w:color="auto"/>
              <w:right w:val="nil"/>
            </w:tcBorders>
            <w:shd w:val="clear" w:color="auto" w:fill="auto"/>
            <w:noWrap/>
            <w:vAlign w:val="center"/>
            <w:hideMark/>
          </w:tcPr>
          <w:p w14:paraId="34EE180C" w14:textId="77777777" w:rsidR="00656847" w:rsidRPr="00E72B59" w:rsidRDefault="00656847" w:rsidP="00960383">
            <w:pPr>
              <w:jc w:val="center"/>
              <w:rPr>
                <w:rFonts w:ascii="Bahnschrift SemiLight" w:hAnsi="Bahnschrift SemiLight"/>
                <w:b/>
                <w:bCs/>
                <w:color w:val="000000"/>
              </w:rPr>
            </w:pPr>
            <w:r w:rsidRPr="00E72B59">
              <w:rPr>
                <w:rFonts w:ascii="Bahnschrift SemiLight" w:hAnsi="Bahnschrift SemiLight" w:cs="Calibri"/>
                <w:b/>
                <w:bCs/>
                <w:color w:val="000000"/>
              </w:rPr>
              <w:t>Automobile Liability</w:t>
            </w:r>
          </w:p>
        </w:tc>
        <w:tc>
          <w:tcPr>
            <w:tcW w:w="2980" w:type="dxa"/>
            <w:tcBorders>
              <w:top w:val="nil"/>
              <w:left w:val="nil"/>
              <w:bottom w:val="single" w:sz="8" w:space="0" w:color="auto"/>
              <w:right w:val="nil"/>
            </w:tcBorders>
            <w:shd w:val="clear" w:color="auto" w:fill="auto"/>
            <w:vAlign w:val="center"/>
            <w:hideMark/>
          </w:tcPr>
          <w:p w14:paraId="2D1D5F2D"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Combined single limit each accident</w:t>
            </w:r>
          </w:p>
        </w:tc>
        <w:tc>
          <w:tcPr>
            <w:tcW w:w="1651" w:type="dxa"/>
            <w:tcBorders>
              <w:top w:val="nil"/>
              <w:left w:val="nil"/>
              <w:bottom w:val="single" w:sz="8" w:space="0" w:color="auto"/>
              <w:right w:val="single" w:sz="8" w:space="0" w:color="auto"/>
            </w:tcBorders>
            <w:shd w:val="clear" w:color="auto" w:fill="auto"/>
            <w:noWrap/>
            <w:vAlign w:val="center"/>
            <w:hideMark/>
          </w:tcPr>
          <w:p w14:paraId="5AD8FA84"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w:t>
            </w:r>
            <w:r w:rsidRPr="00E72B59">
              <w:rPr>
                <w:rFonts w:ascii="Bahnschrift SemiLight" w:hAnsi="Bahnschrift SemiLight" w:cs="Calibri"/>
                <w:color w:val="000000"/>
              </w:rPr>
              <w:t>,000,000.00</w:t>
            </w:r>
          </w:p>
        </w:tc>
      </w:tr>
      <w:tr w:rsidR="00656847" w:rsidRPr="00E72B59" w14:paraId="44C76D3C" w14:textId="77777777" w:rsidTr="00960383">
        <w:trPr>
          <w:trHeight w:val="300"/>
        </w:trPr>
        <w:tc>
          <w:tcPr>
            <w:tcW w:w="4080" w:type="dxa"/>
            <w:tcBorders>
              <w:top w:val="nil"/>
              <w:left w:val="single" w:sz="8" w:space="0" w:color="auto"/>
              <w:bottom w:val="nil"/>
              <w:right w:val="nil"/>
            </w:tcBorders>
            <w:shd w:val="clear" w:color="auto" w:fill="auto"/>
            <w:noWrap/>
            <w:vAlign w:val="center"/>
          </w:tcPr>
          <w:p w14:paraId="5C40FD3B" w14:textId="77777777" w:rsidR="00656847" w:rsidRPr="00E72B59" w:rsidRDefault="00656847" w:rsidP="00960383">
            <w:pPr>
              <w:jc w:val="center"/>
              <w:rPr>
                <w:rFonts w:ascii="Bahnschrift SemiLight" w:hAnsi="Bahnschrift SemiLight"/>
                <w:b/>
                <w:bCs/>
                <w:color w:val="000000"/>
              </w:rPr>
            </w:pPr>
          </w:p>
        </w:tc>
        <w:tc>
          <w:tcPr>
            <w:tcW w:w="2980" w:type="dxa"/>
            <w:tcBorders>
              <w:top w:val="nil"/>
              <w:left w:val="nil"/>
              <w:bottom w:val="nil"/>
              <w:right w:val="nil"/>
            </w:tcBorders>
            <w:shd w:val="clear" w:color="auto" w:fill="auto"/>
            <w:vAlign w:val="center"/>
          </w:tcPr>
          <w:p w14:paraId="443FAB22" w14:textId="77777777" w:rsidR="00656847" w:rsidRPr="00E72B59" w:rsidRDefault="00656847" w:rsidP="00960383">
            <w:pPr>
              <w:jc w:val="center"/>
              <w:rPr>
                <w:rFonts w:ascii="Bahnschrift SemiLight" w:hAnsi="Bahnschrift SemiLight"/>
                <w:color w:val="000000"/>
                <w:sz w:val="20"/>
                <w:szCs w:val="20"/>
              </w:rPr>
            </w:pPr>
          </w:p>
        </w:tc>
        <w:tc>
          <w:tcPr>
            <w:tcW w:w="1651" w:type="dxa"/>
            <w:tcBorders>
              <w:top w:val="nil"/>
              <w:left w:val="nil"/>
              <w:bottom w:val="nil"/>
              <w:right w:val="single" w:sz="8" w:space="0" w:color="auto"/>
            </w:tcBorders>
            <w:shd w:val="clear" w:color="auto" w:fill="auto"/>
            <w:noWrap/>
            <w:vAlign w:val="center"/>
          </w:tcPr>
          <w:p w14:paraId="59950401" w14:textId="77777777" w:rsidR="00656847" w:rsidRPr="00E72B59" w:rsidRDefault="00656847" w:rsidP="00960383">
            <w:pPr>
              <w:jc w:val="center"/>
              <w:rPr>
                <w:rFonts w:ascii="Bahnschrift SemiLight" w:hAnsi="Bahnschrift SemiLight"/>
                <w:color w:val="000000"/>
              </w:rPr>
            </w:pPr>
          </w:p>
        </w:tc>
      </w:tr>
      <w:tr w:rsidR="00656847" w:rsidRPr="00E72B59" w14:paraId="1EFCDBD6" w14:textId="77777777" w:rsidTr="00960383">
        <w:trPr>
          <w:trHeight w:val="76"/>
        </w:trPr>
        <w:tc>
          <w:tcPr>
            <w:tcW w:w="4080" w:type="dxa"/>
            <w:tcBorders>
              <w:top w:val="nil"/>
              <w:left w:val="single" w:sz="8" w:space="0" w:color="auto"/>
              <w:bottom w:val="single" w:sz="8" w:space="0" w:color="auto"/>
              <w:right w:val="nil"/>
            </w:tcBorders>
            <w:shd w:val="clear" w:color="auto" w:fill="auto"/>
            <w:noWrap/>
            <w:vAlign w:val="center"/>
          </w:tcPr>
          <w:p w14:paraId="31B66C97" w14:textId="77777777" w:rsidR="00656847" w:rsidRPr="00E72B59" w:rsidRDefault="00656847" w:rsidP="00960383">
            <w:pPr>
              <w:jc w:val="center"/>
              <w:rPr>
                <w:rFonts w:ascii="Bahnschrift SemiLight" w:hAnsi="Bahnschrift SemiLight"/>
                <w:b/>
                <w:bCs/>
                <w:color w:val="000000"/>
              </w:rPr>
            </w:pPr>
          </w:p>
        </w:tc>
        <w:tc>
          <w:tcPr>
            <w:tcW w:w="2980" w:type="dxa"/>
            <w:tcBorders>
              <w:top w:val="nil"/>
              <w:left w:val="nil"/>
              <w:bottom w:val="single" w:sz="8" w:space="0" w:color="auto"/>
              <w:right w:val="nil"/>
            </w:tcBorders>
            <w:shd w:val="clear" w:color="auto" w:fill="auto"/>
            <w:vAlign w:val="center"/>
          </w:tcPr>
          <w:p w14:paraId="3E70B5DF" w14:textId="77777777" w:rsidR="00656847" w:rsidRPr="00E72B59" w:rsidRDefault="00656847" w:rsidP="00960383">
            <w:pPr>
              <w:jc w:val="center"/>
              <w:rPr>
                <w:rFonts w:ascii="Bahnschrift SemiLight" w:hAnsi="Bahnschrift SemiLight"/>
                <w:color w:val="000000"/>
                <w:sz w:val="20"/>
                <w:szCs w:val="20"/>
              </w:rPr>
            </w:pPr>
          </w:p>
        </w:tc>
        <w:tc>
          <w:tcPr>
            <w:tcW w:w="1651" w:type="dxa"/>
            <w:tcBorders>
              <w:top w:val="nil"/>
              <w:left w:val="nil"/>
              <w:bottom w:val="single" w:sz="8" w:space="0" w:color="auto"/>
              <w:right w:val="single" w:sz="8" w:space="0" w:color="auto"/>
            </w:tcBorders>
            <w:shd w:val="clear" w:color="auto" w:fill="auto"/>
            <w:noWrap/>
            <w:vAlign w:val="center"/>
          </w:tcPr>
          <w:p w14:paraId="04FDFDC3" w14:textId="77777777" w:rsidR="00656847" w:rsidRPr="00E72B59" w:rsidRDefault="00656847" w:rsidP="00960383">
            <w:pPr>
              <w:jc w:val="center"/>
              <w:rPr>
                <w:rFonts w:ascii="Bahnschrift SemiLight" w:hAnsi="Bahnschrift SemiLight"/>
                <w:color w:val="000000"/>
              </w:rPr>
            </w:pPr>
          </w:p>
        </w:tc>
      </w:tr>
      <w:tr w:rsidR="00656847" w:rsidRPr="00E72B59" w14:paraId="51DB3DEE"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658A6AD8" w14:textId="77777777" w:rsidR="00656847" w:rsidRPr="00E72B59" w:rsidRDefault="00656847" w:rsidP="00960383">
            <w:pPr>
              <w:jc w:val="center"/>
              <w:rPr>
                <w:rFonts w:ascii="Bahnschrift SemiLight" w:hAnsi="Bahnschrift SemiLight"/>
                <w:b/>
                <w:bCs/>
                <w:color w:val="000000"/>
              </w:rPr>
            </w:pPr>
            <w:r w:rsidRPr="00E72B59">
              <w:rPr>
                <w:rFonts w:ascii="Bahnschrift SemiLight" w:hAnsi="Bahnschrift SemiLight" w:cs="Calibri"/>
                <w:b/>
                <w:bCs/>
                <w:color w:val="000000"/>
              </w:rPr>
              <w:t>Workers Compensation</w:t>
            </w:r>
          </w:p>
        </w:tc>
        <w:tc>
          <w:tcPr>
            <w:tcW w:w="2980" w:type="dxa"/>
            <w:tcBorders>
              <w:top w:val="nil"/>
              <w:left w:val="nil"/>
              <w:bottom w:val="nil"/>
              <w:right w:val="nil"/>
            </w:tcBorders>
            <w:shd w:val="clear" w:color="auto" w:fill="auto"/>
            <w:vAlign w:val="center"/>
            <w:hideMark/>
          </w:tcPr>
          <w:p w14:paraId="0A31D2F6"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Each accident</w:t>
            </w:r>
          </w:p>
        </w:tc>
        <w:tc>
          <w:tcPr>
            <w:tcW w:w="1651" w:type="dxa"/>
            <w:tcBorders>
              <w:top w:val="nil"/>
              <w:left w:val="nil"/>
              <w:bottom w:val="nil"/>
              <w:right w:val="single" w:sz="8" w:space="0" w:color="auto"/>
            </w:tcBorders>
            <w:shd w:val="clear" w:color="auto" w:fill="auto"/>
            <w:noWrap/>
            <w:vAlign w:val="center"/>
            <w:hideMark/>
          </w:tcPr>
          <w:p w14:paraId="3476EFD3"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1,0</w:t>
            </w:r>
            <w:r w:rsidRPr="00E72B59">
              <w:rPr>
                <w:rFonts w:ascii="Bahnschrift SemiLight" w:hAnsi="Bahnschrift SemiLight" w:cs="Calibri"/>
                <w:color w:val="000000"/>
              </w:rPr>
              <w:t>00,000.00</w:t>
            </w:r>
          </w:p>
        </w:tc>
      </w:tr>
      <w:tr w:rsidR="00656847" w:rsidRPr="00E72B59" w14:paraId="7EC45CC6" w14:textId="77777777" w:rsidTr="00960383">
        <w:trPr>
          <w:trHeight w:val="300"/>
        </w:trPr>
        <w:tc>
          <w:tcPr>
            <w:tcW w:w="4080" w:type="dxa"/>
            <w:tcBorders>
              <w:top w:val="nil"/>
              <w:left w:val="single" w:sz="8" w:space="0" w:color="auto"/>
              <w:bottom w:val="nil"/>
              <w:right w:val="nil"/>
            </w:tcBorders>
            <w:shd w:val="clear" w:color="auto" w:fill="auto"/>
            <w:noWrap/>
            <w:vAlign w:val="center"/>
            <w:hideMark/>
          </w:tcPr>
          <w:p w14:paraId="62E3A9DA" w14:textId="77777777" w:rsidR="00656847" w:rsidRPr="00E72B59" w:rsidRDefault="00656847" w:rsidP="00960383">
            <w:pPr>
              <w:jc w:val="center"/>
              <w:rPr>
                <w:rFonts w:ascii="Bahnschrift SemiLight" w:hAnsi="Bahnschrift SemiLight"/>
                <w:color w:val="000000"/>
              </w:rPr>
            </w:pPr>
          </w:p>
        </w:tc>
        <w:tc>
          <w:tcPr>
            <w:tcW w:w="2980" w:type="dxa"/>
            <w:tcBorders>
              <w:top w:val="nil"/>
              <w:left w:val="nil"/>
              <w:bottom w:val="nil"/>
              <w:right w:val="nil"/>
            </w:tcBorders>
            <w:shd w:val="clear" w:color="auto" w:fill="auto"/>
            <w:vAlign w:val="center"/>
            <w:hideMark/>
          </w:tcPr>
          <w:p w14:paraId="52F7FA98"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Disease each employee</w:t>
            </w:r>
          </w:p>
        </w:tc>
        <w:tc>
          <w:tcPr>
            <w:tcW w:w="1651" w:type="dxa"/>
            <w:tcBorders>
              <w:top w:val="nil"/>
              <w:left w:val="nil"/>
              <w:bottom w:val="nil"/>
              <w:right w:val="single" w:sz="8" w:space="0" w:color="auto"/>
            </w:tcBorders>
            <w:shd w:val="clear" w:color="auto" w:fill="auto"/>
            <w:noWrap/>
            <w:vAlign w:val="center"/>
            <w:hideMark/>
          </w:tcPr>
          <w:p w14:paraId="0E55705D"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1,0</w:t>
            </w:r>
            <w:r w:rsidRPr="00E72B59">
              <w:rPr>
                <w:rFonts w:ascii="Bahnschrift SemiLight" w:hAnsi="Bahnschrift SemiLight" w:cs="Calibri"/>
                <w:color w:val="000000"/>
              </w:rPr>
              <w:t>00,000.00</w:t>
            </w:r>
          </w:p>
        </w:tc>
      </w:tr>
      <w:tr w:rsidR="00656847" w:rsidRPr="00E72B59" w14:paraId="260D7F27" w14:textId="77777777" w:rsidTr="00960383">
        <w:trPr>
          <w:trHeight w:val="310"/>
        </w:trPr>
        <w:tc>
          <w:tcPr>
            <w:tcW w:w="4080" w:type="dxa"/>
            <w:tcBorders>
              <w:top w:val="nil"/>
              <w:left w:val="single" w:sz="8" w:space="0" w:color="auto"/>
              <w:bottom w:val="single" w:sz="8" w:space="0" w:color="auto"/>
              <w:right w:val="nil"/>
            </w:tcBorders>
            <w:shd w:val="clear" w:color="auto" w:fill="auto"/>
            <w:noWrap/>
            <w:vAlign w:val="center"/>
            <w:hideMark/>
          </w:tcPr>
          <w:p w14:paraId="4E281296" w14:textId="77777777" w:rsidR="00656847" w:rsidRPr="00E72B59" w:rsidRDefault="00656847" w:rsidP="00960383">
            <w:pPr>
              <w:jc w:val="center"/>
              <w:rPr>
                <w:rFonts w:ascii="Bahnschrift SemiLight" w:hAnsi="Bahnschrift SemiLight"/>
                <w:color w:val="000000"/>
              </w:rPr>
            </w:pPr>
          </w:p>
        </w:tc>
        <w:tc>
          <w:tcPr>
            <w:tcW w:w="2980" w:type="dxa"/>
            <w:tcBorders>
              <w:top w:val="nil"/>
              <w:left w:val="nil"/>
              <w:bottom w:val="single" w:sz="8" w:space="0" w:color="auto"/>
              <w:right w:val="nil"/>
            </w:tcBorders>
            <w:shd w:val="clear" w:color="auto" w:fill="auto"/>
            <w:vAlign w:val="center"/>
            <w:hideMark/>
          </w:tcPr>
          <w:p w14:paraId="725DEBAA" w14:textId="77777777" w:rsidR="00656847" w:rsidRPr="00E72B59" w:rsidRDefault="00656847" w:rsidP="00960383">
            <w:pPr>
              <w:jc w:val="center"/>
              <w:rPr>
                <w:rFonts w:ascii="Bahnschrift SemiLight" w:hAnsi="Bahnschrift SemiLight"/>
                <w:color w:val="000000"/>
                <w:sz w:val="20"/>
                <w:szCs w:val="20"/>
              </w:rPr>
            </w:pPr>
            <w:r w:rsidRPr="00E72B59">
              <w:rPr>
                <w:rFonts w:ascii="Bahnschrift SemiLight" w:hAnsi="Bahnschrift SemiLight"/>
                <w:color w:val="000000"/>
                <w:sz w:val="20"/>
                <w:szCs w:val="20"/>
              </w:rPr>
              <w:t>Disease policy limit</w:t>
            </w:r>
          </w:p>
        </w:tc>
        <w:tc>
          <w:tcPr>
            <w:tcW w:w="1651" w:type="dxa"/>
            <w:tcBorders>
              <w:top w:val="nil"/>
              <w:left w:val="nil"/>
              <w:bottom w:val="single" w:sz="8" w:space="0" w:color="auto"/>
              <w:right w:val="single" w:sz="8" w:space="0" w:color="auto"/>
            </w:tcBorders>
            <w:shd w:val="clear" w:color="auto" w:fill="auto"/>
            <w:noWrap/>
            <w:vAlign w:val="center"/>
            <w:hideMark/>
          </w:tcPr>
          <w:p w14:paraId="1826DD89" w14:textId="77777777" w:rsidR="00656847" w:rsidRPr="00E72B59" w:rsidRDefault="00656847" w:rsidP="00960383">
            <w:pPr>
              <w:jc w:val="center"/>
              <w:rPr>
                <w:rFonts w:ascii="Bahnschrift SemiLight" w:hAnsi="Bahnschrift SemiLight"/>
                <w:color w:val="000000"/>
              </w:rPr>
            </w:pPr>
            <w:r>
              <w:rPr>
                <w:rFonts w:ascii="Bahnschrift SemiLight" w:hAnsi="Bahnschrift SemiLight" w:cs="Calibri"/>
                <w:color w:val="000000"/>
              </w:rPr>
              <w:t>1,0</w:t>
            </w:r>
            <w:r w:rsidRPr="00E72B59">
              <w:rPr>
                <w:rFonts w:ascii="Bahnschrift SemiLight" w:hAnsi="Bahnschrift SemiLight" w:cs="Calibri"/>
                <w:color w:val="000000"/>
              </w:rPr>
              <w:t>00,000.00</w:t>
            </w:r>
          </w:p>
        </w:tc>
      </w:tr>
    </w:tbl>
    <w:p w14:paraId="6ED3BF5A" w14:textId="77777777" w:rsidR="00656847" w:rsidRPr="00E17A0A" w:rsidRDefault="00656847" w:rsidP="00656847">
      <w:pPr>
        <w:pStyle w:val="NoSpacing"/>
        <w:tabs>
          <w:tab w:val="left" w:pos="360"/>
          <w:tab w:val="left" w:pos="810"/>
        </w:tabs>
        <w:ind w:left="360"/>
        <w:rPr>
          <w:rFonts w:ascii="Bahnschrift SemiLight" w:hAnsi="Bahnschrift SemiLight"/>
          <w:sz w:val="24"/>
          <w:szCs w:val="24"/>
        </w:rPr>
      </w:pPr>
    </w:p>
    <w:p w14:paraId="4C60C4C6" w14:textId="77777777" w:rsidR="00656847" w:rsidRDefault="00656847" w:rsidP="00656847">
      <w:pPr>
        <w:pStyle w:val="NoSpacing"/>
        <w:ind w:left="360"/>
        <w:rPr>
          <w:rFonts w:ascii="Bahnschrift SemiLight" w:hAnsi="Bahnschrift SemiLight"/>
          <w:sz w:val="16"/>
          <w:szCs w:val="16"/>
        </w:rPr>
      </w:pPr>
    </w:p>
    <w:p w14:paraId="3769BB1E" w14:textId="77777777" w:rsidR="00656847" w:rsidRDefault="00656847" w:rsidP="00656847">
      <w:pPr>
        <w:pStyle w:val="NoSpacing"/>
        <w:ind w:left="360"/>
        <w:rPr>
          <w:rFonts w:ascii="Bahnschrift SemiLight" w:hAnsi="Bahnschrift SemiLight"/>
          <w:sz w:val="16"/>
          <w:szCs w:val="16"/>
        </w:rPr>
      </w:pPr>
    </w:p>
    <w:p w14:paraId="6E3C49E8" w14:textId="77777777" w:rsidR="00656847" w:rsidRDefault="00656847" w:rsidP="00656847">
      <w:pPr>
        <w:pStyle w:val="NoSpacing"/>
        <w:numPr>
          <w:ilvl w:val="0"/>
          <w:numId w:val="38"/>
        </w:numPr>
        <w:tabs>
          <w:tab w:val="left" w:pos="270"/>
        </w:tabs>
        <w:rPr>
          <w:rFonts w:ascii="Bahnschrift SemiLight" w:hAnsi="Bahnschrift SemiLight"/>
          <w:sz w:val="24"/>
          <w:szCs w:val="24"/>
        </w:rPr>
      </w:pPr>
      <w:r w:rsidRPr="00DA6C93">
        <w:rPr>
          <w:rFonts w:ascii="Cambria" w:hAnsi="Cambria"/>
          <w:b/>
          <w:sz w:val="24"/>
          <w:szCs w:val="24"/>
        </w:rPr>
        <w:lastRenderedPageBreak/>
        <w:t>Policies and Procedures</w:t>
      </w:r>
      <w:r w:rsidRPr="00DA3A5B">
        <w:rPr>
          <w:rFonts w:ascii="Bahnschrift SemiLight" w:hAnsi="Bahnschrift SemiLight"/>
          <w:b/>
        </w:rPr>
        <w:t>:</w:t>
      </w:r>
      <w:r w:rsidRPr="00DA3A5B">
        <w:rPr>
          <w:rFonts w:ascii="Bahnschrift SemiLight" w:hAnsi="Bahnschrift SemiLight"/>
        </w:rPr>
        <w:t xml:space="preserve">  </w:t>
      </w:r>
      <w:r w:rsidRPr="00762FBC">
        <w:rPr>
          <w:rFonts w:ascii="Bahnschrift SemiLight" w:hAnsi="Bahnschrift SemiLight"/>
          <w:sz w:val="24"/>
          <w:szCs w:val="24"/>
        </w:rPr>
        <w:t>The following procedures were considered in the conduct of this fiscal integrity evaluation</w:t>
      </w:r>
      <w:r>
        <w:rPr>
          <w:rFonts w:ascii="Bahnschrift SemiLight" w:hAnsi="Bahnschrift SemiLight"/>
          <w:sz w:val="24"/>
          <w:szCs w:val="24"/>
        </w:rPr>
        <w:t>:</w:t>
      </w:r>
    </w:p>
    <w:p w14:paraId="19EC4B96" w14:textId="77777777" w:rsidR="00656847" w:rsidRPr="00DA6C93" w:rsidRDefault="00656847" w:rsidP="00656847">
      <w:pPr>
        <w:pStyle w:val="NoSpacing"/>
        <w:numPr>
          <w:ilvl w:val="0"/>
          <w:numId w:val="45"/>
        </w:numPr>
        <w:rPr>
          <w:rFonts w:ascii="Cambria" w:eastAsia="Times New Roman" w:hAnsi="Cambria"/>
          <w:sz w:val="24"/>
          <w:szCs w:val="24"/>
        </w:rPr>
      </w:pPr>
      <w:r w:rsidRPr="00DA6C93">
        <w:rPr>
          <w:rFonts w:ascii="Cambria" w:eastAsia="Times New Roman" w:hAnsi="Cambria"/>
          <w:sz w:val="24"/>
          <w:szCs w:val="24"/>
        </w:rPr>
        <w:t>Financial Procedures Manual (12/3/19)</w:t>
      </w:r>
    </w:p>
    <w:p w14:paraId="191C682D" w14:textId="77777777" w:rsidR="00656847" w:rsidRPr="00DA6C93" w:rsidRDefault="00656847" w:rsidP="00656847">
      <w:pPr>
        <w:pStyle w:val="NoSpacing"/>
        <w:numPr>
          <w:ilvl w:val="0"/>
          <w:numId w:val="45"/>
        </w:numPr>
        <w:rPr>
          <w:rFonts w:ascii="Cambria" w:eastAsia="Times New Roman" w:hAnsi="Cambria"/>
          <w:sz w:val="24"/>
          <w:szCs w:val="24"/>
        </w:rPr>
      </w:pPr>
      <w:r w:rsidRPr="00DA6C93">
        <w:rPr>
          <w:rFonts w:ascii="Cambria" w:eastAsia="Times New Roman" w:hAnsi="Cambria"/>
          <w:sz w:val="24"/>
          <w:szCs w:val="24"/>
        </w:rPr>
        <w:t>Personnel Policies; Amended: 9/22/20</w:t>
      </w:r>
    </w:p>
    <w:p w14:paraId="71D5400A" w14:textId="77777777" w:rsidR="00656847" w:rsidRPr="00DA6C93" w:rsidRDefault="00656847" w:rsidP="00656847">
      <w:pPr>
        <w:pStyle w:val="NoSpacing"/>
        <w:tabs>
          <w:tab w:val="left" w:pos="270"/>
        </w:tabs>
        <w:ind w:left="720"/>
        <w:rPr>
          <w:rFonts w:ascii="Bahnschrift SemiLight" w:hAnsi="Bahnschrift SemiLight"/>
          <w:sz w:val="16"/>
          <w:szCs w:val="16"/>
        </w:rPr>
      </w:pPr>
      <w:r w:rsidRPr="00762FBC">
        <w:rPr>
          <w:rFonts w:ascii="Bahnschrift SemiLight" w:hAnsi="Bahnschrift SemiLight"/>
          <w:sz w:val="24"/>
          <w:szCs w:val="24"/>
        </w:rPr>
        <w:t xml:space="preserve"> </w:t>
      </w:r>
    </w:p>
    <w:p w14:paraId="1D06BA98" w14:textId="77777777" w:rsidR="00656847" w:rsidRPr="007055E8" w:rsidRDefault="00656847" w:rsidP="00656847">
      <w:pPr>
        <w:pStyle w:val="NoSpacing"/>
        <w:numPr>
          <w:ilvl w:val="0"/>
          <w:numId w:val="38"/>
        </w:numPr>
        <w:tabs>
          <w:tab w:val="left" w:pos="360"/>
          <w:tab w:val="left" w:pos="810"/>
        </w:tabs>
        <w:rPr>
          <w:rFonts w:ascii="Bahnschrift SemiLight" w:hAnsi="Bahnschrift SemiLight"/>
          <w:sz w:val="24"/>
          <w:szCs w:val="24"/>
        </w:rPr>
      </w:pPr>
      <w:r w:rsidRPr="00DA6C93">
        <w:rPr>
          <w:rFonts w:ascii="Cambria" w:hAnsi="Cambria"/>
          <w:b/>
          <w:sz w:val="24"/>
          <w:szCs w:val="24"/>
        </w:rPr>
        <w:t>Adverse Judgments</w:t>
      </w:r>
      <w:r w:rsidRPr="00762FBC">
        <w:rPr>
          <w:rFonts w:ascii="Bahnschrift SemiLight" w:hAnsi="Bahnschrift SemiLight"/>
          <w:b/>
          <w:sz w:val="24"/>
          <w:szCs w:val="24"/>
        </w:rPr>
        <w:t>:</w:t>
      </w:r>
      <w:r w:rsidRPr="00762FBC">
        <w:rPr>
          <w:rFonts w:ascii="Bahnschrift SemiLight" w:hAnsi="Bahnschrift SemiLight"/>
          <w:sz w:val="24"/>
          <w:szCs w:val="24"/>
        </w:rPr>
        <w:t xml:space="preserve">  </w:t>
      </w:r>
      <w:r>
        <w:rPr>
          <w:rFonts w:ascii="Bahnschrift SemiLight" w:hAnsi="Bahnschrift SemiLight"/>
          <w:sz w:val="24"/>
          <w:szCs w:val="24"/>
        </w:rPr>
        <w:t xml:space="preserve">RPMC </w:t>
      </w:r>
      <w:r w:rsidRPr="006E6534">
        <w:rPr>
          <w:rFonts w:ascii="Bahnschrift SemiLight" w:hAnsi="Bahnschrift SemiLight"/>
          <w:sz w:val="24"/>
          <w:szCs w:val="24"/>
        </w:rPr>
        <w:t>indicated</w:t>
      </w:r>
      <w:r>
        <w:rPr>
          <w:rFonts w:ascii="Bahnschrift SemiLight" w:hAnsi="Bahnschrift SemiLight"/>
          <w:sz w:val="24"/>
          <w:szCs w:val="24"/>
        </w:rPr>
        <w:t xml:space="preserve"> it </w:t>
      </w:r>
      <w:r w:rsidRPr="006413EC">
        <w:rPr>
          <w:rFonts w:ascii="Bahnschrift SemiLight" w:hAnsi="Bahnschrift SemiLight"/>
          <w:sz w:val="24"/>
          <w:szCs w:val="24"/>
          <w:u w:val="single"/>
        </w:rPr>
        <w:t>did not</w:t>
      </w:r>
      <w:r>
        <w:rPr>
          <w:rFonts w:ascii="Bahnschrift SemiLight" w:hAnsi="Bahnschrift SemiLight"/>
          <w:sz w:val="24"/>
          <w:szCs w:val="24"/>
        </w:rPr>
        <w:t xml:space="preserve"> have any adverse judgements or findings during the last twelve months that would impede their ability to perform the services pursuant to a contract with the Board.</w:t>
      </w:r>
    </w:p>
    <w:p w14:paraId="26310F8B" w14:textId="77777777" w:rsidR="00656847" w:rsidRPr="000F3D22" w:rsidRDefault="00656847" w:rsidP="00656847">
      <w:pPr>
        <w:pStyle w:val="NoSpacing"/>
        <w:tabs>
          <w:tab w:val="left" w:pos="270"/>
          <w:tab w:val="left" w:pos="450"/>
          <w:tab w:val="left" w:pos="630"/>
          <w:tab w:val="left" w:pos="720"/>
        </w:tabs>
        <w:ind w:left="360"/>
        <w:rPr>
          <w:rFonts w:ascii="Bahnschrift SemiLight" w:hAnsi="Bahnschrift SemiLight"/>
          <w:b/>
          <w:color w:val="002060"/>
          <w:sz w:val="32"/>
          <w:szCs w:val="32"/>
        </w:rPr>
      </w:pPr>
    </w:p>
    <w:p w14:paraId="432E156C" w14:textId="77777777" w:rsidR="00656847" w:rsidRPr="000F3D22" w:rsidRDefault="00656847" w:rsidP="00656847">
      <w:pPr>
        <w:pStyle w:val="NoSpacing"/>
        <w:rPr>
          <w:rFonts w:ascii="Bahnschrift SemiLight" w:hAnsi="Bahnschrift SemiLight"/>
          <w:b/>
          <w:color w:val="002060"/>
          <w:sz w:val="32"/>
          <w:szCs w:val="32"/>
        </w:rPr>
      </w:pPr>
    </w:p>
    <w:p w14:paraId="59F8A67A" w14:textId="77777777" w:rsidR="00656847" w:rsidRDefault="00656847" w:rsidP="00656847">
      <w:pPr>
        <w:pStyle w:val="NoSpacing"/>
        <w:rPr>
          <w:rFonts w:ascii="Trebuchet MS" w:hAnsi="Trebuchet MS"/>
          <w:b/>
          <w:color w:val="002060"/>
          <w:sz w:val="32"/>
          <w:szCs w:val="32"/>
        </w:rPr>
      </w:pPr>
    </w:p>
    <w:p w14:paraId="331772C8" w14:textId="77777777" w:rsidR="00656847" w:rsidRDefault="00656847" w:rsidP="00656847">
      <w:pPr>
        <w:pStyle w:val="NoSpacing"/>
        <w:rPr>
          <w:rFonts w:ascii="Trebuchet MS" w:hAnsi="Trebuchet MS"/>
          <w:b/>
          <w:color w:val="002060"/>
          <w:sz w:val="32"/>
          <w:szCs w:val="32"/>
        </w:rPr>
      </w:pPr>
    </w:p>
    <w:p w14:paraId="259B420B" w14:textId="77777777" w:rsidR="00656847" w:rsidRDefault="00656847" w:rsidP="00656847">
      <w:pPr>
        <w:pStyle w:val="NoSpacing"/>
        <w:ind w:left="360"/>
        <w:rPr>
          <w:sz w:val="28"/>
          <w:szCs w:val="28"/>
        </w:rPr>
      </w:pPr>
    </w:p>
    <w:p w14:paraId="50415C3D" w14:textId="77777777" w:rsidR="00656847" w:rsidRDefault="00656847" w:rsidP="00656847">
      <w:pPr>
        <w:pStyle w:val="NoSpacing"/>
        <w:ind w:left="360"/>
        <w:rPr>
          <w:sz w:val="28"/>
          <w:szCs w:val="28"/>
        </w:rPr>
      </w:pPr>
    </w:p>
    <w:p w14:paraId="767C6B7F" w14:textId="77777777" w:rsidR="00656847" w:rsidRDefault="00656847" w:rsidP="00656847">
      <w:pPr>
        <w:pStyle w:val="NoSpacing"/>
        <w:ind w:left="360"/>
        <w:rPr>
          <w:sz w:val="28"/>
          <w:szCs w:val="28"/>
        </w:rPr>
      </w:pPr>
    </w:p>
    <w:p w14:paraId="1E34D116" w14:textId="77777777" w:rsidR="00656847" w:rsidRDefault="00656847" w:rsidP="00656847">
      <w:pPr>
        <w:pStyle w:val="NoSpacing"/>
        <w:ind w:left="360"/>
        <w:rPr>
          <w:sz w:val="28"/>
          <w:szCs w:val="28"/>
        </w:rPr>
      </w:pPr>
    </w:p>
    <w:p w14:paraId="6B460CD6" w14:textId="77777777" w:rsidR="00656847" w:rsidRDefault="00656847" w:rsidP="00656847">
      <w:pPr>
        <w:pStyle w:val="NoSpacing"/>
        <w:ind w:left="360"/>
        <w:rPr>
          <w:sz w:val="28"/>
          <w:szCs w:val="28"/>
        </w:rPr>
      </w:pPr>
    </w:p>
    <w:p w14:paraId="79675165" w14:textId="77777777" w:rsidR="00656847" w:rsidRDefault="00656847" w:rsidP="00656847">
      <w:pPr>
        <w:pStyle w:val="NoSpacing"/>
        <w:ind w:left="360"/>
        <w:rPr>
          <w:sz w:val="28"/>
          <w:szCs w:val="28"/>
        </w:rPr>
      </w:pPr>
    </w:p>
    <w:p w14:paraId="0BAA8003" w14:textId="77777777" w:rsidR="00656847" w:rsidRDefault="00656847" w:rsidP="00656847">
      <w:pPr>
        <w:pStyle w:val="NoSpacing"/>
        <w:ind w:left="360"/>
        <w:rPr>
          <w:sz w:val="28"/>
          <w:szCs w:val="28"/>
        </w:rPr>
      </w:pPr>
    </w:p>
    <w:p w14:paraId="26FDB15B" w14:textId="77777777" w:rsidR="00656847" w:rsidRDefault="00656847" w:rsidP="00656847">
      <w:pPr>
        <w:pStyle w:val="NoSpacing"/>
        <w:ind w:left="360"/>
        <w:rPr>
          <w:sz w:val="28"/>
          <w:szCs w:val="28"/>
        </w:rPr>
      </w:pPr>
    </w:p>
    <w:p w14:paraId="6D89C7B9" w14:textId="77777777" w:rsidR="00656847" w:rsidRDefault="00656847" w:rsidP="00656847">
      <w:pPr>
        <w:pStyle w:val="NoSpacing"/>
        <w:ind w:left="360"/>
        <w:rPr>
          <w:sz w:val="28"/>
          <w:szCs w:val="28"/>
        </w:rPr>
      </w:pPr>
    </w:p>
    <w:p w14:paraId="59BFF1FA" w14:textId="77777777" w:rsidR="00656847" w:rsidRDefault="00656847" w:rsidP="00656847">
      <w:pPr>
        <w:pStyle w:val="NoSpacing"/>
        <w:ind w:left="360"/>
        <w:rPr>
          <w:sz w:val="28"/>
          <w:szCs w:val="28"/>
        </w:rPr>
      </w:pPr>
    </w:p>
    <w:p w14:paraId="33B2E1B5" w14:textId="77777777" w:rsidR="00656847" w:rsidRDefault="00656847" w:rsidP="00656847">
      <w:pPr>
        <w:pStyle w:val="NoSpacing"/>
        <w:ind w:left="360"/>
        <w:rPr>
          <w:sz w:val="28"/>
          <w:szCs w:val="28"/>
        </w:rPr>
      </w:pPr>
    </w:p>
    <w:p w14:paraId="7089A715" w14:textId="77777777" w:rsidR="00656847" w:rsidRDefault="00656847" w:rsidP="00656847">
      <w:pPr>
        <w:pStyle w:val="NoSpacing"/>
        <w:ind w:left="360"/>
        <w:rPr>
          <w:sz w:val="28"/>
          <w:szCs w:val="28"/>
        </w:rPr>
      </w:pPr>
    </w:p>
    <w:p w14:paraId="6BDBB1A9" w14:textId="77777777" w:rsidR="00656847" w:rsidRDefault="00656847" w:rsidP="00656847">
      <w:pPr>
        <w:pStyle w:val="NoSpacing"/>
        <w:ind w:left="360"/>
        <w:rPr>
          <w:sz w:val="28"/>
          <w:szCs w:val="28"/>
        </w:rPr>
      </w:pPr>
    </w:p>
    <w:p w14:paraId="663B82EC" w14:textId="77777777" w:rsidR="00656847" w:rsidRDefault="00656847" w:rsidP="00656847">
      <w:pPr>
        <w:pStyle w:val="NoSpacing"/>
        <w:ind w:left="360"/>
        <w:rPr>
          <w:sz w:val="28"/>
          <w:szCs w:val="28"/>
        </w:rPr>
      </w:pPr>
    </w:p>
    <w:p w14:paraId="141A928B" w14:textId="77777777" w:rsidR="00656847" w:rsidRDefault="00656847" w:rsidP="00656847">
      <w:pPr>
        <w:pStyle w:val="NoSpacing"/>
        <w:ind w:left="360"/>
        <w:rPr>
          <w:sz w:val="28"/>
          <w:szCs w:val="28"/>
        </w:rPr>
      </w:pPr>
    </w:p>
    <w:p w14:paraId="5A74AD2B" w14:textId="77777777" w:rsidR="00656847" w:rsidRDefault="00656847" w:rsidP="00656847">
      <w:pPr>
        <w:pStyle w:val="NoSpacing"/>
        <w:ind w:left="360"/>
        <w:rPr>
          <w:sz w:val="28"/>
          <w:szCs w:val="28"/>
        </w:rPr>
      </w:pPr>
    </w:p>
    <w:p w14:paraId="43F1205B" w14:textId="37A04BB0" w:rsidR="001032A7" w:rsidRDefault="001032A7" w:rsidP="00694FCD">
      <w:pPr>
        <w:pStyle w:val="NoSpacing"/>
        <w:ind w:left="360"/>
        <w:rPr>
          <w:sz w:val="28"/>
          <w:szCs w:val="28"/>
        </w:rPr>
      </w:pPr>
    </w:p>
    <w:p w14:paraId="1B846DEA" w14:textId="42796EB8" w:rsidR="00656847" w:rsidRDefault="00656847" w:rsidP="00694FCD">
      <w:pPr>
        <w:pStyle w:val="NoSpacing"/>
        <w:ind w:left="360"/>
        <w:rPr>
          <w:sz w:val="28"/>
          <w:szCs w:val="28"/>
        </w:rPr>
      </w:pPr>
    </w:p>
    <w:p w14:paraId="479951F9" w14:textId="77777777" w:rsidR="00656847" w:rsidRDefault="00656847" w:rsidP="00694FCD">
      <w:pPr>
        <w:pStyle w:val="NoSpacing"/>
        <w:ind w:left="360"/>
        <w:rPr>
          <w:sz w:val="28"/>
          <w:szCs w:val="28"/>
        </w:rPr>
      </w:pPr>
    </w:p>
    <w:p w14:paraId="5DAD6812" w14:textId="77777777" w:rsidR="00A100A0" w:rsidRPr="008A1DDB" w:rsidRDefault="00A100A0" w:rsidP="00694FCD">
      <w:pPr>
        <w:pStyle w:val="NoSpacing"/>
        <w:ind w:left="360"/>
        <w:rPr>
          <w:sz w:val="28"/>
          <w:szCs w:val="28"/>
        </w:rPr>
      </w:pPr>
    </w:p>
    <w:p w14:paraId="0C0AE60B" w14:textId="77777777" w:rsidR="00694FCD" w:rsidRDefault="00074359" w:rsidP="00694FCD">
      <w:pPr>
        <w:pStyle w:val="NoSpacing"/>
        <w:rPr>
          <w:color w:val="000080"/>
        </w:rPr>
      </w:pPr>
      <w:r>
        <w:rPr>
          <w:color w:val="000080"/>
        </w:rPr>
        <w:pict w14:anchorId="74436B77">
          <v:rect id="_x0000_i1025" style="width:468pt;height:1.5pt" o:hralign="center" o:hrstd="t" o:hrnoshade="t" o:hr="t" fillcolor="black [3213]" stroked="f"/>
        </w:pict>
      </w:r>
    </w:p>
    <w:p w14:paraId="1927F629" w14:textId="77777777" w:rsidR="00694FCD" w:rsidRPr="00D5022B" w:rsidRDefault="00694FCD" w:rsidP="00694FCD">
      <w:pPr>
        <w:pStyle w:val="NoSpacing"/>
        <w:rPr>
          <w:rFonts w:ascii="Cambria" w:hAnsi="Cambria"/>
          <w:i/>
          <w:iCs/>
          <w:color w:val="984806" w:themeColor="accent6" w:themeShade="80"/>
        </w:rPr>
      </w:pPr>
      <w:r w:rsidRPr="00D5022B">
        <w:rPr>
          <w:rFonts w:ascii="Cambria" w:hAnsi="Cambria"/>
          <w:i/>
          <w:iCs/>
          <w:color w:val="984806" w:themeColor="accent6" w:themeShade="80"/>
        </w:rPr>
        <w:t>Because of inherent limitations in any system of internal accounting and administrative controls used in administering federal financial assistance programs, errors or irregularities may nevertheless occur and not be detected. Also, projection of any evaluation of the systems to future periods is subject to the risk that procedures may become inadequate because of changes in conditions or that the degree of compliance with the procedures may deteriorate.</w:t>
      </w:r>
    </w:p>
    <w:p w14:paraId="2D1B4548" w14:textId="77777777" w:rsidR="00694FCD" w:rsidRDefault="00074359" w:rsidP="00694FCD">
      <w:pPr>
        <w:pStyle w:val="NoSpacing"/>
        <w:rPr>
          <w:rFonts w:ascii="Times New Roman" w:hAnsi="Times New Roman" w:cs="Times New Roman"/>
          <w:b/>
          <w:color w:val="00206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color w:val="000080"/>
        </w:rPr>
        <w:pict w14:anchorId="597EB6E7">
          <v:rect id="_x0000_i1026" style="width:468pt;height:1.5pt" o:hralign="center" o:hrstd="t" o:hrnoshade="t" o:hr="t" fillcolor="black [3213]" stroked="f"/>
        </w:pict>
      </w:r>
    </w:p>
    <w:p w14:paraId="67CB8F67" w14:textId="17B39CA9" w:rsidR="000809D1" w:rsidRPr="00656847" w:rsidRDefault="00D5022B" w:rsidP="000809D1">
      <w:pPr>
        <w:pStyle w:val="NoSpacing"/>
        <w:rPr>
          <w:rFonts w:ascii="Cambria" w:hAnsi="Cambria"/>
          <w:sz w:val="16"/>
          <w:szCs w:val="16"/>
          <w:highlight w:val="darkBlue"/>
        </w:rPr>
      </w:pPr>
      <w:bookmarkStart w:id="10" w:name="_Hlk42070643"/>
      <w:r>
        <w:rPr>
          <w:rFonts w:ascii="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solidFill>
              <w14:srgbClr w14:val="70AD47">
                <w14:tint w14:val="1000"/>
              </w14:srgbClr>
            </w14:solidFill>
          </w14:textFill>
        </w:rPr>
        <w:lastRenderedPageBreak/>
        <w:t>F</w:t>
      </w:r>
      <w:r w:rsidR="000809D1" w:rsidRPr="00656847">
        <w:rPr>
          <w:rFonts w:ascii="Cambria" w:hAnsi="Cambria" w:cs="Arial"/>
          <w:sz w:val="28"/>
          <w:szCs w:val="28"/>
        </w:rPr>
        <w:t>i</w:t>
      </w:r>
      <w:r w:rsidR="00E063D5" w:rsidRPr="00656847">
        <w:rPr>
          <w:rFonts w:ascii="Cambria" w:hAnsi="Cambria" w:cs="Arial"/>
          <w:sz w:val="28"/>
          <w:szCs w:val="28"/>
        </w:rPr>
        <w:t>nancial Risk Assessment</w:t>
      </w:r>
      <w:r w:rsidR="000809D1" w:rsidRPr="00656847">
        <w:rPr>
          <w:rFonts w:ascii="Cambria" w:hAnsi="Cambria" w:cs="Arial"/>
          <w:sz w:val="28"/>
          <w:szCs w:val="28"/>
        </w:rPr>
        <w:t xml:space="preserve"> Determinations</w:t>
      </w:r>
    </w:p>
    <w:p w14:paraId="07494A0C" w14:textId="77777777" w:rsidR="000809D1" w:rsidRDefault="000809D1" w:rsidP="000809D1">
      <w:pPr>
        <w:pStyle w:val="NoSpacing"/>
        <w:pBdr>
          <w:top w:val="single" w:sz="4" w:space="1" w:color="auto"/>
        </w:pBdr>
        <w:rPr>
          <w:rFonts w:ascii="Arial Narrow" w:hAnsi="Arial Narrow"/>
          <w:sz w:val="28"/>
          <w:szCs w:val="28"/>
        </w:rPr>
      </w:pPr>
    </w:p>
    <w:p w14:paraId="21AA69DB" w14:textId="77777777" w:rsidR="000C4785" w:rsidRPr="00797712" w:rsidRDefault="000C4785" w:rsidP="000C4785">
      <w:pPr>
        <w:pStyle w:val="NoSpacing"/>
        <w:rPr>
          <w:rFonts w:ascii="Bahnschrift SemiLight" w:hAnsi="Bahnschrift SemiLight"/>
          <w:color w:val="002060"/>
        </w:rPr>
      </w:pPr>
      <w:r w:rsidRPr="00797712">
        <w:rPr>
          <w:rFonts w:ascii="Bahnschrift SemiLight" w:hAnsi="Bahnschrift SemiLight"/>
          <w:sz w:val="24"/>
          <w:szCs w:val="24"/>
        </w:rPr>
        <w:t xml:space="preserve">Our evaluation of the documents and completed questionnaires submitted by the contractors in the review population determined overall and categorical risk rankings as reflected in the following diagrams. </w:t>
      </w:r>
    </w:p>
    <w:bookmarkEnd w:id="10"/>
    <w:p w14:paraId="1CFACE51" w14:textId="44BDB4C1" w:rsidR="001032A7" w:rsidRDefault="001032A7" w:rsidP="000F2F57">
      <w:pPr>
        <w:pStyle w:val="NoSpacing"/>
        <w:rPr>
          <w:rFonts w:asciiTheme="majorHAnsi" w:hAnsiTheme="majorHAnsi"/>
          <w:b/>
          <w:bCs/>
          <w:color w:val="002060"/>
          <w:sz w:val="28"/>
          <w:szCs w:val="28"/>
        </w:rPr>
      </w:pPr>
    </w:p>
    <w:p w14:paraId="01FBEA17" w14:textId="77777777" w:rsidR="001032A7" w:rsidRPr="00D5022B" w:rsidRDefault="001032A7" w:rsidP="001032A7">
      <w:pPr>
        <w:pStyle w:val="NoSpacing"/>
        <w:rPr>
          <w:rFonts w:ascii="Cambria" w:hAnsi="Cambria" w:cs="Segoe UI Historic"/>
          <w:b/>
          <w:color w:val="984806" w:themeColor="accent6" w:themeShade="80"/>
          <w:sz w:val="28"/>
          <w:szCs w:val="28"/>
        </w:rPr>
      </w:pPr>
      <w:r w:rsidRPr="00D5022B">
        <w:rPr>
          <w:rFonts w:ascii="Cambria" w:hAnsi="Cambria"/>
          <w:b/>
          <w:bCs/>
          <w:color w:val="984806" w:themeColor="accent6" w:themeShade="80"/>
          <w:sz w:val="32"/>
          <w:szCs w:val="32"/>
        </w:rPr>
        <w:t>Arbor E&amp;T, LLC</w:t>
      </w:r>
      <w:r w:rsidRPr="00D5022B">
        <w:rPr>
          <w:rFonts w:ascii="Cambria" w:hAnsi="Cambria"/>
          <w:color w:val="984806" w:themeColor="accent6" w:themeShade="80"/>
          <w:sz w:val="32"/>
          <w:szCs w:val="32"/>
        </w:rPr>
        <w:t xml:space="preserve"> </w:t>
      </w:r>
      <w:r w:rsidRPr="00D5022B">
        <w:rPr>
          <w:rFonts w:ascii="Cambria" w:hAnsi="Cambria"/>
          <w:color w:val="984806" w:themeColor="accent6" w:themeShade="80"/>
        </w:rPr>
        <w:t xml:space="preserve">dba </w:t>
      </w:r>
      <w:r w:rsidRPr="00D5022B">
        <w:rPr>
          <w:rFonts w:ascii="Cambria" w:hAnsi="Cambria"/>
          <w:b/>
          <w:bCs/>
          <w:color w:val="984806" w:themeColor="accent6" w:themeShade="80"/>
          <w:sz w:val="32"/>
          <w:szCs w:val="32"/>
        </w:rPr>
        <w:t>Equus Workforce Solutions</w:t>
      </w:r>
      <w:r w:rsidRPr="00D5022B">
        <w:rPr>
          <w:rFonts w:ascii="Cambria" w:hAnsi="Cambria"/>
          <w:i/>
          <w:iCs/>
          <w:color w:val="984806" w:themeColor="accent6" w:themeShade="80"/>
          <w:sz w:val="28"/>
          <w:szCs w:val="28"/>
        </w:rPr>
        <w:t xml:space="preserve"> </w:t>
      </w:r>
      <w:r w:rsidRPr="00D5022B">
        <w:rPr>
          <w:rFonts w:ascii="Cambria" w:hAnsi="Cambria"/>
          <w:i/>
          <w:iCs/>
          <w:color w:val="984806" w:themeColor="accent6" w:themeShade="80"/>
        </w:rPr>
        <w:t>(EWS)</w:t>
      </w:r>
    </w:p>
    <w:p w14:paraId="3CCC3AE3" w14:textId="77777777" w:rsidR="001032A7" w:rsidRPr="001032A7" w:rsidRDefault="001032A7" w:rsidP="000F2F57">
      <w:pPr>
        <w:pStyle w:val="NoSpacing"/>
        <w:rPr>
          <w:rFonts w:asciiTheme="majorHAnsi" w:hAnsiTheme="majorHAnsi"/>
          <w:b/>
          <w:bCs/>
          <w:color w:val="002060"/>
          <w:sz w:val="16"/>
          <w:szCs w:val="16"/>
        </w:rPr>
      </w:pPr>
    </w:p>
    <w:p w14:paraId="1B8E4C82" w14:textId="5A72AD5D" w:rsidR="000F2F57" w:rsidRPr="00D5022B" w:rsidRDefault="000C4785" w:rsidP="001032A7">
      <w:pPr>
        <w:pStyle w:val="NoSpacing"/>
        <w:rPr>
          <w:rFonts w:asciiTheme="majorHAnsi" w:hAnsiTheme="majorHAnsi"/>
          <w:color w:val="984806" w:themeColor="accent6" w:themeShade="80"/>
          <w:sz w:val="28"/>
          <w:szCs w:val="28"/>
        </w:rPr>
      </w:pPr>
      <w:r w:rsidRPr="00D5022B">
        <w:rPr>
          <w:rFonts w:asciiTheme="majorHAnsi" w:hAnsiTheme="majorHAnsi"/>
          <w:color w:val="984806" w:themeColor="accent6" w:themeShade="80"/>
          <w:sz w:val="28"/>
          <w:szCs w:val="28"/>
        </w:rPr>
        <w:t xml:space="preserve">OVERALL </w:t>
      </w:r>
    </w:p>
    <w:tbl>
      <w:tblPr>
        <w:tblW w:w="9180" w:type="dxa"/>
        <w:tblInd w:w="-10" w:type="dxa"/>
        <w:tblLook w:val="04A0" w:firstRow="1" w:lastRow="0" w:firstColumn="1" w:lastColumn="0" w:noHBand="0" w:noVBand="1"/>
      </w:tblPr>
      <w:tblGrid>
        <w:gridCol w:w="1269"/>
        <w:gridCol w:w="1341"/>
        <w:gridCol w:w="1350"/>
        <w:gridCol w:w="990"/>
        <w:gridCol w:w="1080"/>
        <w:gridCol w:w="990"/>
        <w:gridCol w:w="1080"/>
        <w:gridCol w:w="1080"/>
      </w:tblGrid>
      <w:tr w:rsidR="00656847" w14:paraId="6EC21673" w14:textId="77777777" w:rsidTr="00656847">
        <w:trPr>
          <w:trHeight w:val="1068"/>
        </w:trPr>
        <w:tc>
          <w:tcPr>
            <w:tcW w:w="1474"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ACAE91E" w14:textId="77777777" w:rsidR="00656847" w:rsidRDefault="00656847">
            <w:pPr>
              <w:jc w:val="center"/>
              <w:rPr>
                <w:rFonts w:ascii="Cambria" w:hAnsi="Cambria" w:cs="Calibri"/>
                <w:b/>
                <w:bCs/>
                <w:color w:val="1F497D"/>
              </w:rPr>
            </w:pPr>
            <w:r w:rsidRPr="00D5022B">
              <w:rPr>
                <w:rFonts w:ascii="Cambria" w:hAnsi="Cambria" w:cs="Calibri"/>
                <w:b/>
                <w:bCs/>
                <w:color w:val="984806" w:themeColor="accent6" w:themeShade="80"/>
              </w:rPr>
              <w:t>Risk Category</w:t>
            </w:r>
          </w:p>
        </w:tc>
        <w:tc>
          <w:tcPr>
            <w:tcW w:w="1136" w:type="dxa"/>
            <w:tcBorders>
              <w:top w:val="single" w:sz="8" w:space="0" w:color="auto"/>
              <w:left w:val="nil"/>
              <w:bottom w:val="single" w:sz="8" w:space="0" w:color="auto"/>
              <w:right w:val="single" w:sz="4" w:space="0" w:color="auto"/>
            </w:tcBorders>
            <w:shd w:val="clear" w:color="auto" w:fill="auto"/>
            <w:vAlign w:val="bottom"/>
            <w:hideMark/>
          </w:tcPr>
          <w:p w14:paraId="555E0CCC" w14:textId="77777777" w:rsidR="00656847" w:rsidRDefault="00656847">
            <w:pPr>
              <w:jc w:val="center"/>
              <w:rPr>
                <w:rFonts w:ascii="Cambria" w:hAnsi="Cambria" w:cs="Calibri"/>
                <w:b/>
                <w:bCs/>
                <w:sz w:val="20"/>
                <w:szCs w:val="20"/>
              </w:rPr>
            </w:pPr>
            <w:r>
              <w:rPr>
                <w:rFonts w:ascii="Cambria" w:hAnsi="Cambria" w:cs="Calibri"/>
                <w:b/>
                <w:bCs/>
                <w:sz w:val="20"/>
                <w:szCs w:val="20"/>
              </w:rPr>
              <w:t xml:space="preserve">Maximum Risk Score </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14:paraId="141DD357" w14:textId="11D87E55" w:rsidR="00656847" w:rsidRDefault="00656847">
            <w:pPr>
              <w:jc w:val="center"/>
              <w:rPr>
                <w:rFonts w:ascii="Cambria" w:hAnsi="Cambria" w:cs="Calibri"/>
                <w:b/>
                <w:bCs/>
                <w:sz w:val="20"/>
                <w:szCs w:val="20"/>
              </w:rPr>
            </w:pPr>
            <w:r>
              <w:rPr>
                <w:rFonts w:ascii="Cambria" w:hAnsi="Cambria" w:cs="Calibri"/>
                <w:b/>
                <w:bCs/>
                <w:sz w:val="20"/>
                <w:szCs w:val="20"/>
              </w:rPr>
              <w:t>Entity Score</w:t>
            </w:r>
          </w:p>
        </w:tc>
        <w:tc>
          <w:tcPr>
            <w:tcW w:w="990" w:type="dxa"/>
            <w:tcBorders>
              <w:top w:val="single" w:sz="8" w:space="0" w:color="auto"/>
              <w:left w:val="nil"/>
              <w:bottom w:val="single" w:sz="8" w:space="0" w:color="auto"/>
              <w:right w:val="single" w:sz="4" w:space="0" w:color="auto"/>
            </w:tcBorders>
            <w:shd w:val="clear" w:color="auto" w:fill="auto"/>
            <w:vAlign w:val="bottom"/>
            <w:hideMark/>
          </w:tcPr>
          <w:p w14:paraId="5741734A" w14:textId="77777777" w:rsidR="00656847" w:rsidRDefault="00656847">
            <w:pPr>
              <w:jc w:val="center"/>
              <w:rPr>
                <w:rFonts w:ascii="Cambria" w:hAnsi="Cambria" w:cs="Calibri"/>
                <w:b/>
                <w:bCs/>
                <w:sz w:val="20"/>
                <w:szCs w:val="20"/>
              </w:rPr>
            </w:pPr>
            <w:r>
              <w:rPr>
                <w:rFonts w:ascii="Cambria" w:hAnsi="Cambria" w:cs="Calibri"/>
                <w:b/>
                <w:bCs/>
                <w:sz w:val="20"/>
                <w:szCs w:val="20"/>
              </w:rPr>
              <w:t>Risk Rank</w:t>
            </w:r>
          </w:p>
        </w:tc>
        <w:tc>
          <w:tcPr>
            <w:tcW w:w="1080" w:type="dxa"/>
            <w:tcBorders>
              <w:top w:val="single" w:sz="8" w:space="0" w:color="auto"/>
              <w:left w:val="nil"/>
              <w:bottom w:val="single" w:sz="8" w:space="0" w:color="auto"/>
              <w:right w:val="nil"/>
            </w:tcBorders>
            <w:shd w:val="clear" w:color="auto" w:fill="auto"/>
            <w:vAlign w:val="bottom"/>
            <w:hideMark/>
          </w:tcPr>
          <w:p w14:paraId="04F0D10D" w14:textId="77777777" w:rsidR="00656847" w:rsidRDefault="00656847">
            <w:pPr>
              <w:jc w:val="center"/>
              <w:rPr>
                <w:rFonts w:ascii="Cambria" w:hAnsi="Cambria" w:cs="Calibri"/>
                <w:b/>
                <w:bCs/>
                <w:sz w:val="20"/>
                <w:szCs w:val="20"/>
              </w:rPr>
            </w:pPr>
            <w:r>
              <w:rPr>
                <w:rFonts w:ascii="Cambria" w:hAnsi="Cambria" w:cs="Calibri"/>
                <w:b/>
                <w:bCs/>
                <w:sz w:val="20"/>
                <w:szCs w:val="20"/>
              </w:rPr>
              <w:t>Number of Risk Elements</w:t>
            </w:r>
          </w:p>
        </w:tc>
        <w:tc>
          <w:tcPr>
            <w:tcW w:w="99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5909A2B" w14:textId="15D35D65" w:rsidR="00656847" w:rsidRDefault="00656847">
            <w:pPr>
              <w:jc w:val="center"/>
              <w:rPr>
                <w:rFonts w:ascii="Cambria" w:hAnsi="Cambria" w:cs="Calibri"/>
                <w:b/>
                <w:bCs/>
                <w:sz w:val="18"/>
                <w:szCs w:val="18"/>
              </w:rPr>
            </w:pPr>
            <w:r>
              <w:rPr>
                <w:rFonts w:ascii="Cambria" w:hAnsi="Cambria" w:cs="Calibri"/>
                <w:b/>
                <w:bCs/>
                <w:sz w:val="18"/>
                <w:szCs w:val="18"/>
              </w:rPr>
              <w:t>Number of high-risk elements</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3777312C" w14:textId="77777777" w:rsidR="00656847" w:rsidRDefault="00656847">
            <w:pPr>
              <w:jc w:val="center"/>
              <w:rPr>
                <w:rFonts w:ascii="Cambria" w:hAnsi="Cambria" w:cs="Calibri"/>
                <w:b/>
                <w:bCs/>
                <w:sz w:val="18"/>
                <w:szCs w:val="18"/>
              </w:rPr>
            </w:pPr>
            <w:r>
              <w:rPr>
                <w:rFonts w:ascii="Cambria" w:hAnsi="Cambria" w:cs="Calibri"/>
                <w:b/>
                <w:bCs/>
                <w:sz w:val="18"/>
                <w:szCs w:val="18"/>
              </w:rPr>
              <w:t>Number of medium risk elements</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72A63EBF" w14:textId="291514D6" w:rsidR="00656847" w:rsidRDefault="00656847">
            <w:pPr>
              <w:jc w:val="center"/>
              <w:rPr>
                <w:rFonts w:ascii="Cambria" w:hAnsi="Cambria" w:cs="Calibri"/>
                <w:b/>
                <w:bCs/>
                <w:sz w:val="18"/>
                <w:szCs w:val="18"/>
              </w:rPr>
            </w:pPr>
            <w:r>
              <w:rPr>
                <w:rFonts w:ascii="Cambria" w:hAnsi="Cambria" w:cs="Calibri"/>
                <w:b/>
                <w:bCs/>
                <w:sz w:val="18"/>
                <w:szCs w:val="18"/>
              </w:rPr>
              <w:t>Number of low-risk elements</w:t>
            </w:r>
          </w:p>
        </w:tc>
      </w:tr>
      <w:tr w:rsidR="00656847" w14:paraId="0EF69219" w14:textId="77777777" w:rsidTr="00656847">
        <w:trPr>
          <w:trHeight w:val="312"/>
        </w:trPr>
        <w:tc>
          <w:tcPr>
            <w:tcW w:w="1474" w:type="dxa"/>
            <w:tcBorders>
              <w:top w:val="nil"/>
              <w:left w:val="single" w:sz="8" w:space="0" w:color="auto"/>
              <w:bottom w:val="single" w:sz="8" w:space="0" w:color="auto"/>
              <w:right w:val="single" w:sz="4" w:space="0" w:color="auto"/>
            </w:tcBorders>
            <w:shd w:val="clear" w:color="auto" w:fill="auto"/>
            <w:vAlign w:val="bottom"/>
            <w:hideMark/>
          </w:tcPr>
          <w:p w14:paraId="26E43DBA" w14:textId="77777777" w:rsidR="00656847" w:rsidRPr="00656847" w:rsidRDefault="00656847">
            <w:pPr>
              <w:jc w:val="center"/>
              <w:rPr>
                <w:rFonts w:ascii="Cambria" w:hAnsi="Cambria" w:cs="Calibri"/>
                <w:color w:val="000000"/>
                <w:sz w:val="28"/>
                <w:szCs w:val="28"/>
              </w:rPr>
            </w:pPr>
            <w:r w:rsidRPr="00656847">
              <w:rPr>
                <w:rFonts w:ascii="Cambria" w:hAnsi="Cambria" w:cs="Calibri"/>
                <w:color w:val="000000"/>
                <w:sz w:val="28"/>
                <w:szCs w:val="28"/>
              </w:rPr>
              <w:t>Overall</w:t>
            </w:r>
          </w:p>
        </w:tc>
        <w:tc>
          <w:tcPr>
            <w:tcW w:w="1136" w:type="dxa"/>
            <w:tcBorders>
              <w:top w:val="nil"/>
              <w:left w:val="nil"/>
              <w:bottom w:val="single" w:sz="8" w:space="0" w:color="auto"/>
              <w:right w:val="single" w:sz="4" w:space="0" w:color="auto"/>
            </w:tcBorders>
            <w:shd w:val="clear" w:color="auto" w:fill="auto"/>
            <w:noWrap/>
            <w:vAlign w:val="bottom"/>
            <w:hideMark/>
          </w:tcPr>
          <w:p w14:paraId="1D20DD77" w14:textId="77777777" w:rsidR="00656847" w:rsidRPr="00656847" w:rsidRDefault="00656847">
            <w:pPr>
              <w:jc w:val="center"/>
              <w:rPr>
                <w:rFonts w:ascii="Cambria" w:hAnsi="Cambria" w:cs="Calibri"/>
                <w:b/>
                <w:bCs/>
                <w:color w:val="000000"/>
                <w:sz w:val="28"/>
                <w:szCs w:val="28"/>
              </w:rPr>
            </w:pPr>
            <w:r w:rsidRPr="00656847">
              <w:rPr>
                <w:rFonts w:ascii="Cambria" w:hAnsi="Cambria" w:cs="Calibri"/>
                <w:b/>
                <w:bCs/>
                <w:color w:val="000000"/>
                <w:sz w:val="28"/>
                <w:szCs w:val="28"/>
              </w:rPr>
              <w:t xml:space="preserve">             3,741.00 </w:t>
            </w:r>
          </w:p>
        </w:tc>
        <w:tc>
          <w:tcPr>
            <w:tcW w:w="1350" w:type="dxa"/>
            <w:tcBorders>
              <w:top w:val="nil"/>
              <w:left w:val="nil"/>
              <w:bottom w:val="single" w:sz="8" w:space="0" w:color="auto"/>
              <w:right w:val="single" w:sz="4" w:space="0" w:color="auto"/>
            </w:tcBorders>
            <w:shd w:val="clear" w:color="auto" w:fill="auto"/>
            <w:noWrap/>
            <w:vAlign w:val="bottom"/>
            <w:hideMark/>
          </w:tcPr>
          <w:p w14:paraId="10DCF05B" w14:textId="77777777" w:rsidR="00656847" w:rsidRPr="00656847" w:rsidRDefault="00656847">
            <w:pPr>
              <w:jc w:val="center"/>
              <w:rPr>
                <w:rFonts w:ascii="Cambria" w:hAnsi="Cambria" w:cs="Calibri"/>
                <w:b/>
                <w:bCs/>
                <w:color w:val="000000"/>
                <w:sz w:val="28"/>
                <w:szCs w:val="28"/>
              </w:rPr>
            </w:pPr>
            <w:r w:rsidRPr="00656847">
              <w:rPr>
                <w:rFonts w:ascii="Cambria" w:hAnsi="Cambria" w:cs="Calibri"/>
                <w:b/>
                <w:bCs/>
                <w:color w:val="000000"/>
                <w:sz w:val="28"/>
                <w:szCs w:val="28"/>
              </w:rPr>
              <w:t xml:space="preserve">             823.00 </w:t>
            </w:r>
          </w:p>
        </w:tc>
        <w:tc>
          <w:tcPr>
            <w:tcW w:w="990" w:type="dxa"/>
            <w:tcBorders>
              <w:top w:val="single" w:sz="4" w:space="0" w:color="auto"/>
              <w:left w:val="single" w:sz="8" w:space="0" w:color="auto"/>
              <w:bottom w:val="single" w:sz="4" w:space="0" w:color="auto"/>
              <w:right w:val="single" w:sz="4" w:space="0" w:color="auto"/>
            </w:tcBorders>
            <w:shd w:val="clear" w:color="000000" w:fill="92D050"/>
            <w:noWrap/>
            <w:vAlign w:val="bottom"/>
            <w:hideMark/>
          </w:tcPr>
          <w:p w14:paraId="06FD8989" w14:textId="77777777" w:rsidR="00656847" w:rsidRPr="00656847" w:rsidRDefault="00656847">
            <w:pPr>
              <w:jc w:val="center"/>
              <w:rPr>
                <w:rFonts w:ascii="Cambria" w:hAnsi="Cambria" w:cs="Calibri"/>
                <w:b/>
                <w:bCs/>
                <w:color w:val="000000"/>
                <w:sz w:val="28"/>
                <w:szCs w:val="28"/>
              </w:rPr>
            </w:pPr>
            <w:r w:rsidRPr="00656847">
              <w:rPr>
                <w:rFonts w:ascii="Cambria" w:hAnsi="Cambria" w:cs="Calibri"/>
                <w:b/>
                <w:bCs/>
                <w:color w:val="000000"/>
                <w:sz w:val="28"/>
                <w:szCs w:val="28"/>
              </w:rPr>
              <w:t>LM</w:t>
            </w:r>
          </w:p>
        </w:tc>
        <w:tc>
          <w:tcPr>
            <w:tcW w:w="1080" w:type="dxa"/>
            <w:tcBorders>
              <w:top w:val="nil"/>
              <w:left w:val="nil"/>
              <w:bottom w:val="single" w:sz="8" w:space="0" w:color="auto"/>
              <w:right w:val="nil"/>
            </w:tcBorders>
            <w:shd w:val="clear" w:color="auto" w:fill="auto"/>
            <w:noWrap/>
            <w:vAlign w:val="bottom"/>
            <w:hideMark/>
          </w:tcPr>
          <w:p w14:paraId="47920245" w14:textId="77777777" w:rsidR="00656847" w:rsidRPr="00656847" w:rsidRDefault="00656847">
            <w:pPr>
              <w:jc w:val="center"/>
              <w:rPr>
                <w:rFonts w:ascii="Cambria" w:hAnsi="Cambria" w:cs="Calibri"/>
                <w:b/>
                <w:bCs/>
                <w:color w:val="000000"/>
                <w:sz w:val="28"/>
                <w:szCs w:val="28"/>
              </w:rPr>
            </w:pPr>
            <w:r w:rsidRPr="00656847">
              <w:rPr>
                <w:rFonts w:ascii="Cambria" w:hAnsi="Cambria" w:cs="Calibri"/>
                <w:b/>
                <w:bCs/>
                <w:color w:val="000000"/>
                <w:sz w:val="28"/>
                <w:szCs w:val="28"/>
              </w:rPr>
              <w:t>129</w:t>
            </w:r>
          </w:p>
        </w:tc>
        <w:tc>
          <w:tcPr>
            <w:tcW w:w="990" w:type="dxa"/>
            <w:tcBorders>
              <w:top w:val="nil"/>
              <w:left w:val="single" w:sz="8" w:space="0" w:color="auto"/>
              <w:bottom w:val="single" w:sz="8" w:space="0" w:color="auto"/>
              <w:right w:val="single" w:sz="8" w:space="0" w:color="auto"/>
            </w:tcBorders>
            <w:shd w:val="clear" w:color="000000" w:fill="FF0000"/>
            <w:noWrap/>
            <w:vAlign w:val="bottom"/>
            <w:hideMark/>
          </w:tcPr>
          <w:p w14:paraId="476DDF11" w14:textId="77777777" w:rsidR="00656847" w:rsidRPr="00656847" w:rsidRDefault="00656847">
            <w:pPr>
              <w:jc w:val="center"/>
              <w:rPr>
                <w:rFonts w:ascii="Cambria" w:hAnsi="Cambria" w:cs="Calibri"/>
                <w:b/>
                <w:bCs/>
                <w:color w:val="FFFFFF"/>
                <w:sz w:val="28"/>
                <w:szCs w:val="28"/>
              </w:rPr>
            </w:pPr>
            <w:r w:rsidRPr="00656847">
              <w:rPr>
                <w:rFonts w:ascii="Cambria" w:hAnsi="Cambria" w:cs="Calibri"/>
                <w:b/>
                <w:bCs/>
                <w:color w:val="FFFFFF"/>
                <w:sz w:val="28"/>
                <w:szCs w:val="28"/>
              </w:rPr>
              <w:t>16</w:t>
            </w:r>
          </w:p>
        </w:tc>
        <w:tc>
          <w:tcPr>
            <w:tcW w:w="1080" w:type="dxa"/>
            <w:tcBorders>
              <w:top w:val="nil"/>
              <w:left w:val="nil"/>
              <w:bottom w:val="single" w:sz="8" w:space="0" w:color="auto"/>
              <w:right w:val="single" w:sz="4" w:space="0" w:color="auto"/>
            </w:tcBorders>
            <w:shd w:val="clear" w:color="000000" w:fill="FFFF00"/>
            <w:noWrap/>
            <w:vAlign w:val="bottom"/>
            <w:hideMark/>
          </w:tcPr>
          <w:p w14:paraId="5D136C63" w14:textId="77777777" w:rsidR="00656847" w:rsidRPr="00656847" w:rsidRDefault="00656847">
            <w:pPr>
              <w:jc w:val="center"/>
              <w:rPr>
                <w:rFonts w:ascii="Cambria" w:hAnsi="Cambria" w:cs="Calibri"/>
                <w:b/>
                <w:bCs/>
                <w:color w:val="000000"/>
                <w:sz w:val="28"/>
                <w:szCs w:val="28"/>
              </w:rPr>
            </w:pPr>
            <w:r w:rsidRPr="00656847">
              <w:rPr>
                <w:rFonts w:ascii="Cambria" w:hAnsi="Cambria" w:cs="Calibri"/>
                <w:b/>
                <w:bCs/>
                <w:color w:val="000000"/>
                <w:sz w:val="28"/>
                <w:szCs w:val="28"/>
              </w:rPr>
              <w:t>33</w:t>
            </w:r>
          </w:p>
        </w:tc>
        <w:tc>
          <w:tcPr>
            <w:tcW w:w="1080" w:type="dxa"/>
            <w:tcBorders>
              <w:top w:val="nil"/>
              <w:left w:val="nil"/>
              <w:bottom w:val="single" w:sz="8" w:space="0" w:color="auto"/>
              <w:right w:val="single" w:sz="8" w:space="0" w:color="auto"/>
            </w:tcBorders>
            <w:shd w:val="clear" w:color="000000" w:fill="92D050"/>
            <w:noWrap/>
            <w:vAlign w:val="bottom"/>
            <w:hideMark/>
          </w:tcPr>
          <w:p w14:paraId="4D31EA4E" w14:textId="77777777" w:rsidR="00656847" w:rsidRPr="00656847" w:rsidRDefault="00656847">
            <w:pPr>
              <w:jc w:val="center"/>
              <w:rPr>
                <w:rFonts w:ascii="Cambria" w:hAnsi="Cambria" w:cs="Calibri"/>
                <w:b/>
                <w:bCs/>
                <w:color w:val="000000"/>
                <w:sz w:val="28"/>
                <w:szCs w:val="28"/>
              </w:rPr>
            </w:pPr>
            <w:r w:rsidRPr="00656847">
              <w:rPr>
                <w:rFonts w:ascii="Cambria" w:hAnsi="Cambria" w:cs="Calibri"/>
                <w:b/>
                <w:bCs/>
                <w:color w:val="000000"/>
                <w:sz w:val="28"/>
                <w:szCs w:val="28"/>
              </w:rPr>
              <w:t>80</w:t>
            </w:r>
          </w:p>
        </w:tc>
      </w:tr>
    </w:tbl>
    <w:p w14:paraId="1C33ABB9" w14:textId="0771F08E" w:rsidR="00656847" w:rsidRDefault="00656847" w:rsidP="00656847">
      <w:pPr>
        <w:pStyle w:val="NoSpacing"/>
      </w:pPr>
    </w:p>
    <w:p w14:paraId="232E7E61" w14:textId="054F96B3" w:rsidR="00CA10E9" w:rsidRPr="00D5022B" w:rsidRDefault="00E10FF9" w:rsidP="001032A7">
      <w:pPr>
        <w:pStyle w:val="NoSpacing"/>
        <w:rPr>
          <w:rFonts w:asciiTheme="majorHAnsi" w:hAnsiTheme="majorHAnsi"/>
          <w:color w:val="984806" w:themeColor="accent6" w:themeShade="80"/>
          <w:sz w:val="28"/>
          <w:szCs w:val="28"/>
        </w:rPr>
      </w:pPr>
      <w:r w:rsidRPr="00D5022B">
        <w:rPr>
          <w:rFonts w:asciiTheme="majorHAnsi" w:hAnsiTheme="majorHAnsi"/>
          <w:color w:val="984806" w:themeColor="accent6" w:themeShade="80"/>
          <w:sz w:val="28"/>
          <w:szCs w:val="28"/>
        </w:rPr>
        <w:t xml:space="preserve">CATEGORICAL </w:t>
      </w:r>
    </w:p>
    <w:tbl>
      <w:tblPr>
        <w:tblpPr w:leftFromText="180" w:rightFromText="180" w:vertAnchor="text" w:horzAnchor="margin" w:tblpY="174"/>
        <w:tblW w:w="10000" w:type="dxa"/>
        <w:tblLook w:val="04A0" w:firstRow="1" w:lastRow="0" w:firstColumn="1" w:lastColumn="0" w:noHBand="0" w:noVBand="1"/>
      </w:tblPr>
      <w:tblGrid>
        <w:gridCol w:w="2208"/>
        <w:gridCol w:w="1136"/>
        <w:gridCol w:w="1080"/>
        <w:gridCol w:w="1170"/>
        <w:gridCol w:w="1080"/>
        <w:gridCol w:w="1080"/>
        <w:gridCol w:w="976"/>
        <w:gridCol w:w="1270"/>
      </w:tblGrid>
      <w:tr w:rsidR="00656847" w14:paraId="72F4EDE2" w14:textId="77777777" w:rsidTr="00656847">
        <w:trPr>
          <w:trHeight w:val="1380"/>
        </w:trPr>
        <w:tc>
          <w:tcPr>
            <w:tcW w:w="220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68AF48E" w14:textId="77777777" w:rsidR="00656847" w:rsidRDefault="00656847" w:rsidP="00656847">
            <w:pPr>
              <w:jc w:val="center"/>
              <w:rPr>
                <w:rFonts w:ascii="Cambria" w:hAnsi="Cambria" w:cs="Calibri"/>
                <w:b/>
                <w:bCs/>
                <w:color w:val="1F497D"/>
                <w:sz w:val="22"/>
                <w:szCs w:val="22"/>
              </w:rPr>
            </w:pPr>
            <w:r w:rsidRPr="00D5022B">
              <w:rPr>
                <w:rFonts w:ascii="Cambria" w:hAnsi="Cambria" w:cs="Calibri"/>
                <w:b/>
                <w:bCs/>
                <w:color w:val="984806" w:themeColor="accent6" w:themeShade="80"/>
                <w:sz w:val="22"/>
                <w:szCs w:val="22"/>
              </w:rPr>
              <w:t>Risk Category</w:t>
            </w:r>
          </w:p>
        </w:tc>
        <w:tc>
          <w:tcPr>
            <w:tcW w:w="1136" w:type="dxa"/>
            <w:tcBorders>
              <w:top w:val="single" w:sz="8" w:space="0" w:color="auto"/>
              <w:left w:val="nil"/>
              <w:bottom w:val="single" w:sz="8" w:space="0" w:color="auto"/>
              <w:right w:val="single" w:sz="4" w:space="0" w:color="auto"/>
            </w:tcBorders>
            <w:shd w:val="clear" w:color="auto" w:fill="auto"/>
            <w:vAlign w:val="bottom"/>
            <w:hideMark/>
          </w:tcPr>
          <w:p w14:paraId="7BD4E93D" w14:textId="77777777" w:rsidR="00656847" w:rsidRDefault="00656847" w:rsidP="00656847">
            <w:pPr>
              <w:jc w:val="center"/>
              <w:rPr>
                <w:rFonts w:ascii="Cambria" w:hAnsi="Cambria" w:cs="Calibri"/>
                <w:b/>
                <w:bCs/>
                <w:sz w:val="20"/>
                <w:szCs w:val="20"/>
              </w:rPr>
            </w:pPr>
            <w:r>
              <w:rPr>
                <w:rFonts w:ascii="Cambria" w:hAnsi="Cambria" w:cs="Calibri"/>
                <w:b/>
                <w:bCs/>
                <w:sz w:val="20"/>
                <w:szCs w:val="20"/>
              </w:rPr>
              <w:t>Maximum Risk Score for Category</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3204BA74" w14:textId="77777777" w:rsidR="00656847" w:rsidRDefault="00656847" w:rsidP="00656847">
            <w:pPr>
              <w:jc w:val="center"/>
              <w:rPr>
                <w:rFonts w:ascii="Cambria" w:hAnsi="Cambria" w:cs="Calibri"/>
                <w:b/>
                <w:bCs/>
                <w:sz w:val="20"/>
                <w:szCs w:val="20"/>
              </w:rPr>
            </w:pPr>
            <w:r>
              <w:rPr>
                <w:rFonts w:ascii="Cambria" w:hAnsi="Cambria" w:cs="Calibri"/>
                <w:b/>
                <w:bCs/>
                <w:sz w:val="20"/>
                <w:szCs w:val="20"/>
              </w:rPr>
              <w:t>Entity Category Score</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14:paraId="7A71C031" w14:textId="77777777" w:rsidR="00656847" w:rsidRDefault="00656847" w:rsidP="00656847">
            <w:pPr>
              <w:jc w:val="center"/>
              <w:rPr>
                <w:rFonts w:ascii="Cambria" w:hAnsi="Cambria" w:cs="Calibri"/>
                <w:b/>
                <w:bCs/>
                <w:sz w:val="20"/>
                <w:szCs w:val="20"/>
              </w:rPr>
            </w:pPr>
            <w:r>
              <w:rPr>
                <w:rFonts w:ascii="Cambria" w:hAnsi="Cambria" w:cs="Calibri"/>
                <w:b/>
                <w:bCs/>
                <w:sz w:val="20"/>
                <w:szCs w:val="20"/>
              </w:rPr>
              <w:t>Risk Rank for Category</w:t>
            </w:r>
          </w:p>
        </w:tc>
        <w:tc>
          <w:tcPr>
            <w:tcW w:w="1080" w:type="dxa"/>
            <w:tcBorders>
              <w:top w:val="single" w:sz="8" w:space="0" w:color="auto"/>
              <w:left w:val="nil"/>
              <w:bottom w:val="single" w:sz="8" w:space="0" w:color="auto"/>
              <w:right w:val="nil"/>
            </w:tcBorders>
            <w:shd w:val="clear" w:color="auto" w:fill="auto"/>
            <w:vAlign w:val="bottom"/>
            <w:hideMark/>
          </w:tcPr>
          <w:p w14:paraId="78E6FFA6" w14:textId="77777777" w:rsidR="00656847" w:rsidRDefault="00656847" w:rsidP="00656847">
            <w:pPr>
              <w:jc w:val="center"/>
              <w:rPr>
                <w:rFonts w:ascii="Cambria" w:hAnsi="Cambria" w:cs="Calibri"/>
                <w:b/>
                <w:bCs/>
                <w:sz w:val="20"/>
                <w:szCs w:val="20"/>
              </w:rPr>
            </w:pPr>
            <w:r>
              <w:rPr>
                <w:rFonts w:ascii="Cambria" w:hAnsi="Cambria" w:cs="Calibri"/>
                <w:b/>
                <w:bCs/>
                <w:sz w:val="20"/>
                <w:szCs w:val="20"/>
              </w:rPr>
              <w:t>Number of Risk Elements in Category</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0EA7A37" w14:textId="179955D3" w:rsidR="00656847" w:rsidRDefault="00656847" w:rsidP="00656847">
            <w:pPr>
              <w:jc w:val="center"/>
              <w:rPr>
                <w:rFonts w:ascii="Cambria" w:hAnsi="Cambria" w:cs="Calibri"/>
                <w:b/>
                <w:bCs/>
                <w:sz w:val="18"/>
                <w:szCs w:val="18"/>
              </w:rPr>
            </w:pPr>
            <w:r>
              <w:rPr>
                <w:rFonts w:ascii="Cambria" w:hAnsi="Cambria" w:cs="Calibri"/>
                <w:b/>
                <w:bCs/>
                <w:sz w:val="18"/>
                <w:szCs w:val="18"/>
              </w:rPr>
              <w:t>Number of high-risk elements</w:t>
            </w:r>
          </w:p>
        </w:tc>
        <w:tc>
          <w:tcPr>
            <w:tcW w:w="976" w:type="dxa"/>
            <w:tcBorders>
              <w:top w:val="single" w:sz="8" w:space="0" w:color="auto"/>
              <w:left w:val="nil"/>
              <w:bottom w:val="single" w:sz="8" w:space="0" w:color="auto"/>
              <w:right w:val="single" w:sz="4" w:space="0" w:color="auto"/>
            </w:tcBorders>
            <w:shd w:val="clear" w:color="auto" w:fill="auto"/>
            <w:vAlign w:val="bottom"/>
            <w:hideMark/>
          </w:tcPr>
          <w:p w14:paraId="4E5F7402" w14:textId="77777777" w:rsidR="00656847" w:rsidRDefault="00656847" w:rsidP="00656847">
            <w:pPr>
              <w:jc w:val="center"/>
              <w:rPr>
                <w:rFonts w:ascii="Cambria" w:hAnsi="Cambria" w:cs="Calibri"/>
                <w:b/>
                <w:bCs/>
                <w:sz w:val="18"/>
                <w:szCs w:val="18"/>
              </w:rPr>
            </w:pPr>
            <w:r>
              <w:rPr>
                <w:rFonts w:ascii="Cambria" w:hAnsi="Cambria" w:cs="Calibri"/>
                <w:b/>
                <w:bCs/>
                <w:sz w:val="18"/>
                <w:szCs w:val="18"/>
              </w:rPr>
              <w:t>Number of medium risk elements</w:t>
            </w:r>
          </w:p>
        </w:tc>
        <w:tc>
          <w:tcPr>
            <w:tcW w:w="1270" w:type="dxa"/>
            <w:tcBorders>
              <w:top w:val="single" w:sz="8" w:space="0" w:color="auto"/>
              <w:left w:val="nil"/>
              <w:bottom w:val="single" w:sz="8" w:space="0" w:color="auto"/>
              <w:right w:val="single" w:sz="8" w:space="0" w:color="auto"/>
            </w:tcBorders>
            <w:shd w:val="clear" w:color="auto" w:fill="auto"/>
            <w:vAlign w:val="bottom"/>
            <w:hideMark/>
          </w:tcPr>
          <w:p w14:paraId="3EF25D5F" w14:textId="3778E843" w:rsidR="00656847" w:rsidRDefault="00656847" w:rsidP="00656847">
            <w:pPr>
              <w:jc w:val="center"/>
              <w:rPr>
                <w:rFonts w:ascii="Cambria" w:hAnsi="Cambria" w:cs="Calibri"/>
                <w:b/>
                <w:bCs/>
                <w:sz w:val="18"/>
                <w:szCs w:val="18"/>
              </w:rPr>
            </w:pPr>
            <w:r>
              <w:rPr>
                <w:rFonts w:ascii="Cambria" w:hAnsi="Cambria" w:cs="Calibri"/>
                <w:b/>
                <w:bCs/>
                <w:sz w:val="18"/>
                <w:szCs w:val="18"/>
              </w:rPr>
              <w:t>Number of low-risk elements</w:t>
            </w:r>
          </w:p>
        </w:tc>
      </w:tr>
      <w:tr w:rsidR="00656847" w14:paraId="073BC7DB" w14:textId="77777777" w:rsidTr="00656847">
        <w:trPr>
          <w:trHeight w:val="552"/>
        </w:trPr>
        <w:tc>
          <w:tcPr>
            <w:tcW w:w="2208" w:type="dxa"/>
            <w:tcBorders>
              <w:top w:val="nil"/>
              <w:left w:val="single" w:sz="8" w:space="0" w:color="auto"/>
              <w:bottom w:val="single" w:sz="4" w:space="0" w:color="auto"/>
              <w:right w:val="single" w:sz="4" w:space="0" w:color="auto"/>
            </w:tcBorders>
            <w:shd w:val="clear" w:color="auto" w:fill="auto"/>
            <w:vAlign w:val="bottom"/>
            <w:hideMark/>
          </w:tcPr>
          <w:p w14:paraId="3956F847"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Fiscal Controls and General Risk Items</w:t>
            </w:r>
          </w:p>
        </w:tc>
        <w:tc>
          <w:tcPr>
            <w:tcW w:w="1136" w:type="dxa"/>
            <w:tcBorders>
              <w:top w:val="nil"/>
              <w:left w:val="nil"/>
              <w:bottom w:val="single" w:sz="4" w:space="0" w:color="auto"/>
              <w:right w:val="single" w:sz="4" w:space="0" w:color="auto"/>
            </w:tcBorders>
            <w:shd w:val="clear" w:color="auto" w:fill="auto"/>
            <w:noWrap/>
            <w:vAlign w:val="bottom"/>
            <w:hideMark/>
          </w:tcPr>
          <w:p w14:paraId="587F9B53"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638</w:t>
            </w:r>
          </w:p>
        </w:tc>
        <w:tc>
          <w:tcPr>
            <w:tcW w:w="1080" w:type="dxa"/>
            <w:tcBorders>
              <w:top w:val="nil"/>
              <w:left w:val="nil"/>
              <w:bottom w:val="single" w:sz="4" w:space="0" w:color="auto"/>
              <w:right w:val="single" w:sz="4" w:space="0" w:color="auto"/>
            </w:tcBorders>
            <w:shd w:val="clear" w:color="auto" w:fill="auto"/>
            <w:noWrap/>
            <w:vAlign w:val="bottom"/>
            <w:hideMark/>
          </w:tcPr>
          <w:p w14:paraId="3276AFB2"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124</w:t>
            </w:r>
          </w:p>
        </w:tc>
        <w:tc>
          <w:tcPr>
            <w:tcW w:w="1170" w:type="dxa"/>
            <w:tcBorders>
              <w:top w:val="single" w:sz="4" w:space="0" w:color="auto"/>
              <w:left w:val="single" w:sz="8" w:space="0" w:color="auto"/>
              <w:bottom w:val="single" w:sz="4" w:space="0" w:color="auto"/>
              <w:right w:val="single" w:sz="4" w:space="0" w:color="auto"/>
            </w:tcBorders>
            <w:shd w:val="clear" w:color="000000" w:fill="92D050"/>
            <w:noWrap/>
            <w:vAlign w:val="bottom"/>
            <w:hideMark/>
          </w:tcPr>
          <w:p w14:paraId="0E3F12C3"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LM</w:t>
            </w:r>
          </w:p>
        </w:tc>
        <w:tc>
          <w:tcPr>
            <w:tcW w:w="1080" w:type="dxa"/>
            <w:tcBorders>
              <w:top w:val="nil"/>
              <w:left w:val="nil"/>
              <w:bottom w:val="single" w:sz="4" w:space="0" w:color="auto"/>
              <w:right w:val="single" w:sz="4" w:space="0" w:color="auto"/>
            </w:tcBorders>
            <w:shd w:val="clear" w:color="auto" w:fill="auto"/>
            <w:noWrap/>
            <w:vAlign w:val="bottom"/>
            <w:hideMark/>
          </w:tcPr>
          <w:p w14:paraId="24BF872D"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22</w:t>
            </w:r>
          </w:p>
        </w:tc>
        <w:tc>
          <w:tcPr>
            <w:tcW w:w="1080" w:type="dxa"/>
            <w:tcBorders>
              <w:top w:val="nil"/>
              <w:left w:val="nil"/>
              <w:bottom w:val="single" w:sz="4" w:space="0" w:color="auto"/>
              <w:right w:val="single" w:sz="4" w:space="0" w:color="auto"/>
            </w:tcBorders>
            <w:shd w:val="clear" w:color="000000" w:fill="FF0000"/>
            <w:noWrap/>
            <w:vAlign w:val="bottom"/>
            <w:hideMark/>
          </w:tcPr>
          <w:p w14:paraId="62B195FF"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0</w:t>
            </w:r>
          </w:p>
        </w:tc>
        <w:tc>
          <w:tcPr>
            <w:tcW w:w="976" w:type="dxa"/>
            <w:tcBorders>
              <w:top w:val="nil"/>
              <w:left w:val="nil"/>
              <w:bottom w:val="single" w:sz="4" w:space="0" w:color="auto"/>
              <w:right w:val="single" w:sz="4" w:space="0" w:color="auto"/>
            </w:tcBorders>
            <w:shd w:val="clear" w:color="000000" w:fill="FFFF00"/>
            <w:noWrap/>
            <w:vAlign w:val="bottom"/>
            <w:hideMark/>
          </w:tcPr>
          <w:p w14:paraId="51D450DF"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7</w:t>
            </w:r>
          </w:p>
        </w:tc>
        <w:tc>
          <w:tcPr>
            <w:tcW w:w="1270" w:type="dxa"/>
            <w:tcBorders>
              <w:top w:val="nil"/>
              <w:left w:val="nil"/>
              <w:bottom w:val="single" w:sz="4" w:space="0" w:color="auto"/>
              <w:right w:val="single" w:sz="8" w:space="0" w:color="auto"/>
            </w:tcBorders>
            <w:shd w:val="clear" w:color="000000" w:fill="92D050"/>
            <w:noWrap/>
            <w:vAlign w:val="bottom"/>
            <w:hideMark/>
          </w:tcPr>
          <w:p w14:paraId="592F50CE"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15</w:t>
            </w:r>
          </w:p>
        </w:tc>
      </w:tr>
      <w:tr w:rsidR="00656847" w14:paraId="547F901F" w14:textId="77777777" w:rsidTr="00656847">
        <w:trPr>
          <w:trHeight w:val="300"/>
        </w:trPr>
        <w:tc>
          <w:tcPr>
            <w:tcW w:w="2208" w:type="dxa"/>
            <w:tcBorders>
              <w:top w:val="nil"/>
              <w:left w:val="single" w:sz="8" w:space="0" w:color="auto"/>
              <w:bottom w:val="single" w:sz="4" w:space="0" w:color="auto"/>
              <w:right w:val="single" w:sz="4" w:space="0" w:color="auto"/>
            </w:tcBorders>
            <w:shd w:val="clear" w:color="auto" w:fill="auto"/>
            <w:vAlign w:val="bottom"/>
            <w:hideMark/>
          </w:tcPr>
          <w:p w14:paraId="1B6EC7F2"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Cash Management</w:t>
            </w:r>
          </w:p>
        </w:tc>
        <w:tc>
          <w:tcPr>
            <w:tcW w:w="1136" w:type="dxa"/>
            <w:tcBorders>
              <w:top w:val="nil"/>
              <w:left w:val="nil"/>
              <w:bottom w:val="single" w:sz="4" w:space="0" w:color="auto"/>
              <w:right w:val="single" w:sz="4" w:space="0" w:color="auto"/>
            </w:tcBorders>
            <w:shd w:val="clear" w:color="auto" w:fill="auto"/>
            <w:noWrap/>
            <w:vAlign w:val="bottom"/>
            <w:hideMark/>
          </w:tcPr>
          <w:p w14:paraId="03F948EA"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783</w:t>
            </w:r>
          </w:p>
        </w:tc>
        <w:tc>
          <w:tcPr>
            <w:tcW w:w="1080" w:type="dxa"/>
            <w:tcBorders>
              <w:top w:val="nil"/>
              <w:left w:val="nil"/>
              <w:bottom w:val="single" w:sz="4" w:space="0" w:color="auto"/>
              <w:right w:val="single" w:sz="4" w:space="0" w:color="auto"/>
            </w:tcBorders>
            <w:shd w:val="clear" w:color="auto" w:fill="auto"/>
            <w:noWrap/>
            <w:vAlign w:val="bottom"/>
            <w:hideMark/>
          </w:tcPr>
          <w:p w14:paraId="0D6EDCC1"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185</w:t>
            </w:r>
          </w:p>
        </w:tc>
        <w:tc>
          <w:tcPr>
            <w:tcW w:w="1170" w:type="dxa"/>
            <w:tcBorders>
              <w:top w:val="nil"/>
              <w:left w:val="single" w:sz="8" w:space="0" w:color="auto"/>
              <w:bottom w:val="single" w:sz="4" w:space="0" w:color="auto"/>
              <w:right w:val="single" w:sz="4" w:space="0" w:color="auto"/>
            </w:tcBorders>
            <w:shd w:val="clear" w:color="000000" w:fill="92D050"/>
            <w:noWrap/>
            <w:vAlign w:val="bottom"/>
            <w:hideMark/>
          </w:tcPr>
          <w:p w14:paraId="71177DE0"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LH</w:t>
            </w:r>
          </w:p>
        </w:tc>
        <w:tc>
          <w:tcPr>
            <w:tcW w:w="1080" w:type="dxa"/>
            <w:tcBorders>
              <w:top w:val="nil"/>
              <w:left w:val="nil"/>
              <w:bottom w:val="single" w:sz="4" w:space="0" w:color="auto"/>
              <w:right w:val="single" w:sz="4" w:space="0" w:color="auto"/>
            </w:tcBorders>
            <w:shd w:val="clear" w:color="auto" w:fill="auto"/>
            <w:noWrap/>
            <w:vAlign w:val="bottom"/>
            <w:hideMark/>
          </w:tcPr>
          <w:p w14:paraId="2D44E932"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27</w:t>
            </w:r>
          </w:p>
        </w:tc>
        <w:tc>
          <w:tcPr>
            <w:tcW w:w="1080" w:type="dxa"/>
            <w:tcBorders>
              <w:top w:val="nil"/>
              <w:left w:val="nil"/>
              <w:bottom w:val="single" w:sz="4" w:space="0" w:color="auto"/>
              <w:right w:val="single" w:sz="4" w:space="0" w:color="auto"/>
            </w:tcBorders>
            <w:shd w:val="clear" w:color="000000" w:fill="FF0000"/>
            <w:noWrap/>
            <w:vAlign w:val="bottom"/>
            <w:hideMark/>
          </w:tcPr>
          <w:p w14:paraId="47B2EF84"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8</w:t>
            </w:r>
          </w:p>
        </w:tc>
        <w:tc>
          <w:tcPr>
            <w:tcW w:w="976" w:type="dxa"/>
            <w:tcBorders>
              <w:top w:val="nil"/>
              <w:left w:val="nil"/>
              <w:bottom w:val="single" w:sz="4" w:space="0" w:color="auto"/>
              <w:right w:val="single" w:sz="4" w:space="0" w:color="auto"/>
            </w:tcBorders>
            <w:shd w:val="clear" w:color="000000" w:fill="FFFF00"/>
            <w:noWrap/>
            <w:vAlign w:val="bottom"/>
            <w:hideMark/>
          </w:tcPr>
          <w:p w14:paraId="369B7851"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2</w:t>
            </w:r>
          </w:p>
        </w:tc>
        <w:tc>
          <w:tcPr>
            <w:tcW w:w="1270" w:type="dxa"/>
            <w:tcBorders>
              <w:top w:val="nil"/>
              <w:left w:val="nil"/>
              <w:bottom w:val="single" w:sz="4" w:space="0" w:color="auto"/>
              <w:right w:val="single" w:sz="8" w:space="0" w:color="auto"/>
            </w:tcBorders>
            <w:shd w:val="clear" w:color="000000" w:fill="92D050"/>
            <w:noWrap/>
            <w:vAlign w:val="bottom"/>
            <w:hideMark/>
          </w:tcPr>
          <w:p w14:paraId="05637B58"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17</w:t>
            </w:r>
          </w:p>
        </w:tc>
      </w:tr>
      <w:tr w:rsidR="00656847" w14:paraId="10D17067" w14:textId="77777777" w:rsidTr="00656847">
        <w:trPr>
          <w:trHeight w:val="300"/>
        </w:trPr>
        <w:tc>
          <w:tcPr>
            <w:tcW w:w="2208" w:type="dxa"/>
            <w:tcBorders>
              <w:top w:val="nil"/>
              <w:left w:val="single" w:sz="8" w:space="0" w:color="auto"/>
              <w:bottom w:val="single" w:sz="4" w:space="0" w:color="auto"/>
              <w:right w:val="single" w:sz="4" w:space="0" w:color="auto"/>
            </w:tcBorders>
            <w:shd w:val="clear" w:color="auto" w:fill="auto"/>
            <w:vAlign w:val="bottom"/>
            <w:hideMark/>
          </w:tcPr>
          <w:p w14:paraId="3CC8D518"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Cost Allocation</w:t>
            </w:r>
          </w:p>
        </w:tc>
        <w:tc>
          <w:tcPr>
            <w:tcW w:w="1136" w:type="dxa"/>
            <w:tcBorders>
              <w:top w:val="nil"/>
              <w:left w:val="nil"/>
              <w:bottom w:val="single" w:sz="4" w:space="0" w:color="auto"/>
              <w:right w:val="single" w:sz="4" w:space="0" w:color="auto"/>
            </w:tcBorders>
            <w:shd w:val="clear" w:color="auto" w:fill="auto"/>
            <w:noWrap/>
            <w:vAlign w:val="bottom"/>
            <w:hideMark/>
          </w:tcPr>
          <w:p w14:paraId="7FA3DFC4"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464</w:t>
            </w:r>
          </w:p>
        </w:tc>
        <w:tc>
          <w:tcPr>
            <w:tcW w:w="1080" w:type="dxa"/>
            <w:tcBorders>
              <w:top w:val="nil"/>
              <w:left w:val="nil"/>
              <w:bottom w:val="single" w:sz="4" w:space="0" w:color="auto"/>
              <w:right w:val="single" w:sz="4" w:space="0" w:color="auto"/>
            </w:tcBorders>
            <w:shd w:val="clear" w:color="auto" w:fill="auto"/>
            <w:noWrap/>
            <w:vAlign w:val="bottom"/>
            <w:hideMark/>
          </w:tcPr>
          <w:p w14:paraId="4CCC718A"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186</w:t>
            </w:r>
          </w:p>
        </w:tc>
        <w:tc>
          <w:tcPr>
            <w:tcW w:w="1170" w:type="dxa"/>
            <w:tcBorders>
              <w:top w:val="nil"/>
              <w:left w:val="single" w:sz="8" w:space="0" w:color="auto"/>
              <w:bottom w:val="single" w:sz="4" w:space="0" w:color="auto"/>
              <w:right w:val="single" w:sz="4" w:space="0" w:color="auto"/>
            </w:tcBorders>
            <w:shd w:val="clear" w:color="000000" w:fill="92D050"/>
            <w:noWrap/>
            <w:vAlign w:val="bottom"/>
            <w:hideMark/>
          </w:tcPr>
          <w:p w14:paraId="5A2CA767"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ML</w:t>
            </w:r>
          </w:p>
        </w:tc>
        <w:tc>
          <w:tcPr>
            <w:tcW w:w="1080" w:type="dxa"/>
            <w:tcBorders>
              <w:top w:val="nil"/>
              <w:left w:val="nil"/>
              <w:bottom w:val="single" w:sz="4" w:space="0" w:color="auto"/>
              <w:right w:val="single" w:sz="4" w:space="0" w:color="auto"/>
            </w:tcBorders>
            <w:shd w:val="clear" w:color="auto" w:fill="auto"/>
            <w:noWrap/>
            <w:vAlign w:val="bottom"/>
            <w:hideMark/>
          </w:tcPr>
          <w:p w14:paraId="7E1F0650"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16</w:t>
            </w:r>
          </w:p>
        </w:tc>
        <w:tc>
          <w:tcPr>
            <w:tcW w:w="1080" w:type="dxa"/>
            <w:tcBorders>
              <w:top w:val="nil"/>
              <w:left w:val="nil"/>
              <w:bottom w:val="single" w:sz="4" w:space="0" w:color="auto"/>
              <w:right w:val="single" w:sz="4" w:space="0" w:color="auto"/>
            </w:tcBorders>
            <w:shd w:val="clear" w:color="000000" w:fill="FF0000"/>
            <w:noWrap/>
            <w:vAlign w:val="bottom"/>
            <w:hideMark/>
          </w:tcPr>
          <w:p w14:paraId="07421A7C"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1</w:t>
            </w:r>
          </w:p>
        </w:tc>
        <w:tc>
          <w:tcPr>
            <w:tcW w:w="976" w:type="dxa"/>
            <w:tcBorders>
              <w:top w:val="nil"/>
              <w:left w:val="nil"/>
              <w:bottom w:val="single" w:sz="4" w:space="0" w:color="auto"/>
              <w:right w:val="single" w:sz="4" w:space="0" w:color="auto"/>
            </w:tcBorders>
            <w:shd w:val="clear" w:color="000000" w:fill="FFFF00"/>
            <w:noWrap/>
            <w:vAlign w:val="bottom"/>
            <w:hideMark/>
          </w:tcPr>
          <w:p w14:paraId="0DFEBE6C"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11</w:t>
            </w:r>
          </w:p>
        </w:tc>
        <w:tc>
          <w:tcPr>
            <w:tcW w:w="1270" w:type="dxa"/>
            <w:tcBorders>
              <w:top w:val="nil"/>
              <w:left w:val="nil"/>
              <w:bottom w:val="single" w:sz="4" w:space="0" w:color="auto"/>
              <w:right w:val="single" w:sz="8" w:space="0" w:color="auto"/>
            </w:tcBorders>
            <w:shd w:val="clear" w:color="000000" w:fill="92D050"/>
            <w:noWrap/>
            <w:vAlign w:val="bottom"/>
            <w:hideMark/>
          </w:tcPr>
          <w:p w14:paraId="00DBF1A1"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4</w:t>
            </w:r>
          </w:p>
        </w:tc>
      </w:tr>
      <w:tr w:rsidR="00656847" w14:paraId="73196EFD" w14:textId="77777777" w:rsidTr="00656847">
        <w:trPr>
          <w:trHeight w:val="552"/>
        </w:trPr>
        <w:tc>
          <w:tcPr>
            <w:tcW w:w="2208" w:type="dxa"/>
            <w:tcBorders>
              <w:top w:val="nil"/>
              <w:left w:val="single" w:sz="8" w:space="0" w:color="auto"/>
              <w:bottom w:val="single" w:sz="4" w:space="0" w:color="auto"/>
              <w:right w:val="single" w:sz="4" w:space="0" w:color="auto"/>
            </w:tcBorders>
            <w:shd w:val="clear" w:color="auto" w:fill="auto"/>
            <w:vAlign w:val="bottom"/>
            <w:hideMark/>
          </w:tcPr>
          <w:p w14:paraId="4DD1DAC3"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Procurement, Budgeting, Reporting</w:t>
            </w:r>
          </w:p>
        </w:tc>
        <w:tc>
          <w:tcPr>
            <w:tcW w:w="1136" w:type="dxa"/>
            <w:tcBorders>
              <w:top w:val="nil"/>
              <w:left w:val="nil"/>
              <w:bottom w:val="single" w:sz="4" w:space="0" w:color="auto"/>
              <w:right w:val="single" w:sz="4" w:space="0" w:color="auto"/>
            </w:tcBorders>
            <w:shd w:val="clear" w:color="auto" w:fill="auto"/>
            <w:noWrap/>
            <w:vAlign w:val="bottom"/>
            <w:hideMark/>
          </w:tcPr>
          <w:p w14:paraId="06C24ACA"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696</w:t>
            </w:r>
          </w:p>
        </w:tc>
        <w:tc>
          <w:tcPr>
            <w:tcW w:w="1080" w:type="dxa"/>
            <w:tcBorders>
              <w:top w:val="nil"/>
              <w:left w:val="nil"/>
              <w:bottom w:val="single" w:sz="4" w:space="0" w:color="auto"/>
              <w:right w:val="single" w:sz="4" w:space="0" w:color="auto"/>
            </w:tcBorders>
            <w:shd w:val="clear" w:color="auto" w:fill="auto"/>
            <w:noWrap/>
            <w:vAlign w:val="bottom"/>
            <w:hideMark/>
          </w:tcPr>
          <w:p w14:paraId="66BBDE61"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156</w:t>
            </w:r>
          </w:p>
        </w:tc>
        <w:tc>
          <w:tcPr>
            <w:tcW w:w="1170" w:type="dxa"/>
            <w:tcBorders>
              <w:top w:val="nil"/>
              <w:left w:val="single" w:sz="8" w:space="0" w:color="auto"/>
              <w:bottom w:val="single" w:sz="4" w:space="0" w:color="auto"/>
              <w:right w:val="single" w:sz="4" w:space="0" w:color="auto"/>
            </w:tcBorders>
            <w:shd w:val="clear" w:color="000000" w:fill="92D050"/>
            <w:noWrap/>
            <w:vAlign w:val="bottom"/>
            <w:hideMark/>
          </w:tcPr>
          <w:p w14:paraId="504F1584"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LH</w:t>
            </w:r>
          </w:p>
        </w:tc>
        <w:tc>
          <w:tcPr>
            <w:tcW w:w="1080" w:type="dxa"/>
            <w:tcBorders>
              <w:top w:val="nil"/>
              <w:left w:val="nil"/>
              <w:bottom w:val="single" w:sz="4" w:space="0" w:color="auto"/>
              <w:right w:val="single" w:sz="4" w:space="0" w:color="auto"/>
            </w:tcBorders>
            <w:shd w:val="clear" w:color="auto" w:fill="auto"/>
            <w:noWrap/>
            <w:vAlign w:val="bottom"/>
            <w:hideMark/>
          </w:tcPr>
          <w:p w14:paraId="04F94079"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24</w:t>
            </w:r>
          </w:p>
        </w:tc>
        <w:tc>
          <w:tcPr>
            <w:tcW w:w="1080" w:type="dxa"/>
            <w:tcBorders>
              <w:top w:val="nil"/>
              <w:left w:val="nil"/>
              <w:bottom w:val="single" w:sz="4" w:space="0" w:color="auto"/>
              <w:right w:val="single" w:sz="4" w:space="0" w:color="auto"/>
            </w:tcBorders>
            <w:shd w:val="clear" w:color="000000" w:fill="FF0000"/>
            <w:noWrap/>
            <w:vAlign w:val="bottom"/>
            <w:hideMark/>
          </w:tcPr>
          <w:p w14:paraId="692B1B6D"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4</w:t>
            </w:r>
          </w:p>
        </w:tc>
        <w:tc>
          <w:tcPr>
            <w:tcW w:w="976" w:type="dxa"/>
            <w:tcBorders>
              <w:top w:val="nil"/>
              <w:left w:val="nil"/>
              <w:bottom w:val="single" w:sz="4" w:space="0" w:color="auto"/>
              <w:right w:val="single" w:sz="4" w:space="0" w:color="auto"/>
            </w:tcBorders>
            <w:shd w:val="clear" w:color="000000" w:fill="FFFF00"/>
            <w:noWrap/>
            <w:vAlign w:val="bottom"/>
            <w:hideMark/>
          </w:tcPr>
          <w:p w14:paraId="35C80AA7"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5</w:t>
            </w:r>
          </w:p>
        </w:tc>
        <w:tc>
          <w:tcPr>
            <w:tcW w:w="1270" w:type="dxa"/>
            <w:tcBorders>
              <w:top w:val="nil"/>
              <w:left w:val="nil"/>
              <w:bottom w:val="single" w:sz="4" w:space="0" w:color="auto"/>
              <w:right w:val="single" w:sz="8" w:space="0" w:color="auto"/>
            </w:tcBorders>
            <w:shd w:val="clear" w:color="000000" w:fill="92D050"/>
            <w:noWrap/>
            <w:vAlign w:val="bottom"/>
            <w:hideMark/>
          </w:tcPr>
          <w:p w14:paraId="564D6B47"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15</w:t>
            </w:r>
          </w:p>
        </w:tc>
      </w:tr>
      <w:tr w:rsidR="00656847" w14:paraId="1A01F4B3" w14:textId="77777777" w:rsidTr="00656847">
        <w:trPr>
          <w:trHeight w:val="300"/>
        </w:trPr>
        <w:tc>
          <w:tcPr>
            <w:tcW w:w="2208" w:type="dxa"/>
            <w:tcBorders>
              <w:top w:val="nil"/>
              <w:left w:val="single" w:sz="8" w:space="0" w:color="auto"/>
              <w:bottom w:val="single" w:sz="4" w:space="0" w:color="auto"/>
              <w:right w:val="single" w:sz="4" w:space="0" w:color="auto"/>
            </w:tcBorders>
            <w:shd w:val="clear" w:color="auto" w:fill="auto"/>
            <w:vAlign w:val="bottom"/>
            <w:hideMark/>
          </w:tcPr>
          <w:p w14:paraId="31C3C4D7"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Audit and Monitoring</w:t>
            </w:r>
          </w:p>
        </w:tc>
        <w:tc>
          <w:tcPr>
            <w:tcW w:w="1136" w:type="dxa"/>
            <w:tcBorders>
              <w:top w:val="nil"/>
              <w:left w:val="nil"/>
              <w:bottom w:val="single" w:sz="4" w:space="0" w:color="auto"/>
              <w:right w:val="single" w:sz="4" w:space="0" w:color="auto"/>
            </w:tcBorders>
            <w:shd w:val="clear" w:color="auto" w:fill="auto"/>
            <w:noWrap/>
            <w:vAlign w:val="bottom"/>
            <w:hideMark/>
          </w:tcPr>
          <w:p w14:paraId="3E63395B"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464</w:t>
            </w:r>
          </w:p>
        </w:tc>
        <w:tc>
          <w:tcPr>
            <w:tcW w:w="1080" w:type="dxa"/>
            <w:tcBorders>
              <w:top w:val="nil"/>
              <w:left w:val="nil"/>
              <w:bottom w:val="single" w:sz="4" w:space="0" w:color="auto"/>
              <w:right w:val="single" w:sz="4" w:space="0" w:color="auto"/>
            </w:tcBorders>
            <w:shd w:val="clear" w:color="auto" w:fill="auto"/>
            <w:noWrap/>
            <w:vAlign w:val="bottom"/>
            <w:hideMark/>
          </w:tcPr>
          <w:p w14:paraId="7F9C3C4F"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65</w:t>
            </w:r>
          </w:p>
        </w:tc>
        <w:tc>
          <w:tcPr>
            <w:tcW w:w="1170" w:type="dxa"/>
            <w:tcBorders>
              <w:top w:val="nil"/>
              <w:left w:val="single" w:sz="8" w:space="0" w:color="auto"/>
              <w:bottom w:val="single" w:sz="4" w:space="0" w:color="auto"/>
              <w:right w:val="single" w:sz="4" w:space="0" w:color="auto"/>
            </w:tcBorders>
            <w:shd w:val="clear" w:color="000000" w:fill="92D050"/>
            <w:noWrap/>
            <w:vAlign w:val="bottom"/>
            <w:hideMark/>
          </w:tcPr>
          <w:p w14:paraId="27C2A441"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LM</w:t>
            </w:r>
          </w:p>
        </w:tc>
        <w:tc>
          <w:tcPr>
            <w:tcW w:w="1080" w:type="dxa"/>
            <w:tcBorders>
              <w:top w:val="nil"/>
              <w:left w:val="nil"/>
              <w:bottom w:val="single" w:sz="4" w:space="0" w:color="auto"/>
              <w:right w:val="single" w:sz="4" w:space="0" w:color="auto"/>
            </w:tcBorders>
            <w:shd w:val="clear" w:color="auto" w:fill="auto"/>
            <w:noWrap/>
            <w:vAlign w:val="bottom"/>
            <w:hideMark/>
          </w:tcPr>
          <w:p w14:paraId="71240756"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16</w:t>
            </w:r>
          </w:p>
        </w:tc>
        <w:tc>
          <w:tcPr>
            <w:tcW w:w="1080" w:type="dxa"/>
            <w:tcBorders>
              <w:top w:val="nil"/>
              <w:left w:val="nil"/>
              <w:bottom w:val="single" w:sz="4" w:space="0" w:color="auto"/>
              <w:right w:val="single" w:sz="4" w:space="0" w:color="auto"/>
            </w:tcBorders>
            <w:shd w:val="clear" w:color="000000" w:fill="FF0000"/>
            <w:noWrap/>
            <w:vAlign w:val="bottom"/>
            <w:hideMark/>
          </w:tcPr>
          <w:p w14:paraId="0E3A5127"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0</w:t>
            </w:r>
          </w:p>
        </w:tc>
        <w:tc>
          <w:tcPr>
            <w:tcW w:w="976" w:type="dxa"/>
            <w:tcBorders>
              <w:top w:val="nil"/>
              <w:left w:val="nil"/>
              <w:bottom w:val="single" w:sz="4" w:space="0" w:color="auto"/>
              <w:right w:val="single" w:sz="4" w:space="0" w:color="auto"/>
            </w:tcBorders>
            <w:shd w:val="clear" w:color="000000" w:fill="FFFF00"/>
            <w:noWrap/>
            <w:vAlign w:val="bottom"/>
            <w:hideMark/>
          </w:tcPr>
          <w:p w14:paraId="6E47EFA6"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5</w:t>
            </w:r>
          </w:p>
        </w:tc>
        <w:tc>
          <w:tcPr>
            <w:tcW w:w="1270" w:type="dxa"/>
            <w:tcBorders>
              <w:top w:val="nil"/>
              <w:left w:val="nil"/>
              <w:bottom w:val="single" w:sz="4" w:space="0" w:color="auto"/>
              <w:right w:val="single" w:sz="8" w:space="0" w:color="auto"/>
            </w:tcBorders>
            <w:shd w:val="clear" w:color="000000" w:fill="92D050"/>
            <w:noWrap/>
            <w:vAlign w:val="bottom"/>
            <w:hideMark/>
          </w:tcPr>
          <w:p w14:paraId="58C1B322"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11</w:t>
            </w:r>
          </w:p>
        </w:tc>
      </w:tr>
      <w:tr w:rsidR="00656847" w14:paraId="2EFF8D4D" w14:textId="77777777" w:rsidTr="00656847">
        <w:trPr>
          <w:trHeight w:val="645"/>
        </w:trPr>
        <w:tc>
          <w:tcPr>
            <w:tcW w:w="2208" w:type="dxa"/>
            <w:tcBorders>
              <w:top w:val="nil"/>
              <w:left w:val="single" w:sz="8" w:space="0" w:color="auto"/>
              <w:bottom w:val="single" w:sz="4" w:space="0" w:color="auto"/>
              <w:right w:val="single" w:sz="4" w:space="0" w:color="auto"/>
            </w:tcBorders>
            <w:shd w:val="clear" w:color="auto" w:fill="auto"/>
            <w:vAlign w:val="bottom"/>
            <w:hideMark/>
          </w:tcPr>
          <w:p w14:paraId="5815263B"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Tax Return and Conflict of Interest</w:t>
            </w:r>
          </w:p>
        </w:tc>
        <w:tc>
          <w:tcPr>
            <w:tcW w:w="1136" w:type="dxa"/>
            <w:tcBorders>
              <w:top w:val="nil"/>
              <w:left w:val="nil"/>
              <w:bottom w:val="single" w:sz="4" w:space="0" w:color="auto"/>
              <w:right w:val="single" w:sz="4" w:space="0" w:color="auto"/>
            </w:tcBorders>
            <w:shd w:val="clear" w:color="auto" w:fill="auto"/>
            <w:noWrap/>
            <w:vAlign w:val="bottom"/>
            <w:hideMark/>
          </w:tcPr>
          <w:p w14:paraId="3E688FE8"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377</w:t>
            </w:r>
          </w:p>
        </w:tc>
        <w:tc>
          <w:tcPr>
            <w:tcW w:w="1080" w:type="dxa"/>
            <w:tcBorders>
              <w:top w:val="nil"/>
              <w:left w:val="nil"/>
              <w:bottom w:val="single" w:sz="4" w:space="0" w:color="auto"/>
              <w:right w:val="single" w:sz="4" w:space="0" w:color="auto"/>
            </w:tcBorders>
            <w:shd w:val="clear" w:color="auto" w:fill="auto"/>
            <w:noWrap/>
            <w:vAlign w:val="bottom"/>
            <w:hideMark/>
          </w:tcPr>
          <w:p w14:paraId="4C659564"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39</w:t>
            </w:r>
          </w:p>
        </w:tc>
        <w:tc>
          <w:tcPr>
            <w:tcW w:w="1170" w:type="dxa"/>
            <w:tcBorders>
              <w:top w:val="nil"/>
              <w:left w:val="single" w:sz="8" w:space="0" w:color="auto"/>
              <w:bottom w:val="single" w:sz="4" w:space="0" w:color="auto"/>
              <w:right w:val="single" w:sz="4" w:space="0" w:color="auto"/>
            </w:tcBorders>
            <w:shd w:val="clear" w:color="000000" w:fill="92D050"/>
            <w:noWrap/>
            <w:vAlign w:val="bottom"/>
            <w:hideMark/>
          </w:tcPr>
          <w:p w14:paraId="7020FC8F"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L</w:t>
            </w:r>
          </w:p>
        </w:tc>
        <w:tc>
          <w:tcPr>
            <w:tcW w:w="1080" w:type="dxa"/>
            <w:tcBorders>
              <w:top w:val="nil"/>
              <w:left w:val="nil"/>
              <w:bottom w:val="single" w:sz="4" w:space="0" w:color="auto"/>
              <w:right w:val="single" w:sz="4" w:space="0" w:color="auto"/>
            </w:tcBorders>
            <w:shd w:val="clear" w:color="auto" w:fill="auto"/>
            <w:noWrap/>
            <w:vAlign w:val="bottom"/>
            <w:hideMark/>
          </w:tcPr>
          <w:p w14:paraId="3C85F4FB"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13</w:t>
            </w:r>
          </w:p>
        </w:tc>
        <w:tc>
          <w:tcPr>
            <w:tcW w:w="1080" w:type="dxa"/>
            <w:tcBorders>
              <w:top w:val="nil"/>
              <w:left w:val="nil"/>
              <w:bottom w:val="single" w:sz="4" w:space="0" w:color="auto"/>
              <w:right w:val="single" w:sz="4" w:space="0" w:color="auto"/>
            </w:tcBorders>
            <w:shd w:val="clear" w:color="000000" w:fill="FF0000"/>
            <w:noWrap/>
            <w:vAlign w:val="bottom"/>
            <w:hideMark/>
          </w:tcPr>
          <w:p w14:paraId="7A1424E9"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0</w:t>
            </w:r>
          </w:p>
        </w:tc>
        <w:tc>
          <w:tcPr>
            <w:tcW w:w="976" w:type="dxa"/>
            <w:tcBorders>
              <w:top w:val="nil"/>
              <w:left w:val="nil"/>
              <w:bottom w:val="single" w:sz="4" w:space="0" w:color="auto"/>
              <w:right w:val="single" w:sz="4" w:space="0" w:color="auto"/>
            </w:tcBorders>
            <w:shd w:val="clear" w:color="000000" w:fill="FFFF00"/>
            <w:noWrap/>
            <w:vAlign w:val="bottom"/>
            <w:hideMark/>
          </w:tcPr>
          <w:p w14:paraId="71D8F5C7"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3</w:t>
            </w:r>
          </w:p>
        </w:tc>
        <w:tc>
          <w:tcPr>
            <w:tcW w:w="1270" w:type="dxa"/>
            <w:tcBorders>
              <w:top w:val="nil"/>
              <w:left w:val="nil"/>
              <w:bottom w:val="single" w:sz="4" w:space="0" w:color="auto"/>
              <w:right w:val="single" w:sz="8" w:space="0" w:color="auto"/>
            </w:tcBorders>
            <w:shd w:val="clear" w:color="000000" w:fill="92D050"/>
            <w:noWrap/>
            <w:vAlign w:val="bottom"/>
            <w:hideMark/>
          </w:tcPr>
          <w:p w14:paraId="2B59CC4E"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10</w:t>
            </w:r>
          </w:p>
        </w:tc>
      </w:tr>
      <w:tr w:rsidR="00656847" w14:paraId="353F02D0" w14:textId="77777777" w:rsidTr="00656847">
        <w:trPr>
          <w:trHeight w:val="1116"/>
        </w:trPr>
        <w:tc>
          <w:tcPr>
            <w:tcW w:w="2208" w:type="dxa"/>
            <w:tcBorders>
              <w:top w:val="nil"/>
              <w:left w:val="single" w:sz="8" w:space="0" w:color="auto"/>
              <w:bottom w:val="single" w:sz="8" w:space="0" w:color="auto"/>
              <w:right w:val="single" w:sz="4" w:space="0" w:color="auto"/>
            </w:tcBorders>
            <w:shd w:val="clear" w:color="auto" w:fill="auto"/>
            <w:vAlign w:val="bottom"/>
            <w:hideMark/>
          </w:tcPr>
          <w:p w14:paraId="1CDC88F5" w14:textId="77777777" w:rsidR="00656847" w:rsidRDefault="00656847" w:rsidP="00656847">
            <w:pPr>
              <w:rPr>
                <w:rFonts w:ascii="Cambria" w:hAnsi="Cambria" w:cs="Calibri"/>
                <w:color w:val="000000"/>
                <w:sz w:val="22"/>
                <w:szCs w:val="22"/>
              </w:rPr>
            </w:pPr>
            <w:r>
              <w:rPr>
                <w:rFonts w:ascii="Cambria" w:hAnsi="Cambria" w:cs="Calibri"/>
                <w:color w:val="000000"/>
                <w:sz w:val="22"/>
                <w:szCs w:val="22"/>
              </w:rPr>
              <w:t>Financial Reporting, Obligations, Provider Payments, Support Services, ITA'S</w:t>
            </w:r>
          </w:p>
        </w:tc>
        <w:tc>
          <w:tcPr>
            <w:tcW w:w="1136" w:type="dxa"/>
            <w:tcBorders>
              <w:top w:val="nil"/>
              <w:left w:val="nil"/>
              <w:bottom w:val="single" w:sz="8" w:space="0" w:color="auto"/>
              <w:right w:val="single" w:sz="4" w:space="0" w:color="auto"/>
            </w:tcBorders>
            <w:shd w:val="clear" w:color="auto" w:fill="auto"/>
            <w:noWrap/>
            <w:vAlign w:val="bottom"/>
            <w:hideMark/>
          </w:tcPr>
          <w:p w14:paraId="537EEB81"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319</w:t>
            </w:r>
          </w:p>
        </w:tc>
        <w:tc>
          <w:tcPr>
            <w:tcW w:w="1080" w:type="dxa"/>
            <w:tcBorders>
              <w:top w:val="nil"/>
              <w:left w:val="nil"/>
              <w:bottom w:val="single" w:sz="8" w:space="0" w:color="auto"/>
              <w:right w:val="single" w:sz="4" w:space="0" w:color="auto"/>
            </w:tcBorders>
            <w:shd w:val="clear" w:color="auto" w:fill="auto"/>
            <w:noWrap/>
            <w:vAlign w:val="bottom"/>
            <w:hideMark/>
          </w:tcPr>
          <w:p w14:paraId="471D9F29" w14:textId="77777777" w:rsidR="00656847" w:rsidRPr="00656847" w:rsidRDefault="00656847" w:rsidP="00656847">
            <w:pPr>
              <w:jc w:val="center"/>
              <w:rPr>
                <w:rFonts w:ascii="Cambria" w:hAnsi="Cambria" w:cs="Calibri"/>
                <w:color w:val="000000"/>
                <w:sz w:val="28"/>
                <w:szCs w:val="28"/>
              </w:rPr>
            </w:pPr>
            <w:r w:rsidRPr="00656847">
              <w:rPr>
                <w:rFonts w:ascii="Cambria" w:hAnsi="Cambria" w:cs="Calibri"/>
                <w:color w:val="000000"/>
                <w:sz w:val="28"/>
                <w:szCs w:val="28"/>
              </w:rPr>
              <w:t>68</w:t>
            </w:r>
          </w:p>
        </w:tc>
        <w:tc>
          <w:tcPr>
            <w:tcW w:w="1170" w:type="dxa"/>
            <w:tcBorders>
              <w:top w:val="nil"/>
              <w:left w:val="single" w:sz="8" w:space="0" w:color="auto"/>
              <w:bottom w:val="single" w:sz="8" w:space="0" w:color="auto"/>
              <w:right w:val="single" w:sz="4" w:space="0" w:color="auto"/>
            </w:tcBorders>
            <w:shd w:val="clear" w:color="000000" w:fill="92D050"/>
            <w:noWrap/>
            <w:vAlign w:val="bottom"/>
            <w:hideMark/>
          </w:tcPr>
          <w:p w14:paraId="566FC5EE"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LM</w:t>
            </w:r>
          </w:p>
        </w:tc>
        <w:tc>
          <w:tcPr>
            <w:tcW w:w="1080" w:type="dxa"/>
            <w:tcBorders>
              <w:top w:val="nil"/>
              <w:left w:val="nil"/>
              <w:bottom w:val="single" w:sz="8" w:space="0" w:color="auto"/>
              <w:right w:val="single" w:sz="4" w:space="0" w:color="auto"/>
            </w:tcBorders>
            <w:shd w:val="clear" w:color="auto" w:fill="auto"/>
            <w:noWrap/>
            <w:vAlign w:val="bottom"/>
            <w:hideMark/>
          </w:tcPr>
          <w:p w14:paraId="190913BB"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11</w:t>
            </w:r>
          </w:p>
        </w:tc>
        <w:tc>
          <w:tcPr>
            <w:tcW w:w="1080" w:type="dxa"/>
            <w:tcBorders>
              <w:top w:val="nil"/>
              <w:left w:val="nil"/>
              <w:bottom w:val="single" w:sz="8" w:space="0" w:color="auto"/>
              <w:right w:val="single" w:sz="4" w:space="0" w:color="auto"/>
            </w:tcBorders>
            <w:shd w:val="clear" w:color="000000" w:fill="FF0000"/>
            <w:noWrap/>
            <w:vAlign w:val="bottom"/>
            <w:hideMark/>
          </w:tcPr>
          <w:p w14:paraId="0C469F5D" w14:textId="77777777" w:rsidR="00656847" w:rsidRPr="00656847" w:rsidRDefault="00656847" w:rsidP="00656847">
            <w:pPr>
              <w:jc w:val="center"/>
              <w:rPr>
                <w:rFonts w:ascii="Cambria" w:hAnsi="Cambria" w:cs="Calibri"/>
                <w:b/>
                <w:bCs/>
                <w:color w:val="FFFFFF"/>
                <w:sz w:val="28"/>
                <w:szCs w:val="28"/>
              </w:rPr>
            </w:pPr>
            <w:r w:rsidRPr="00656847">
              <w:rPr>
                <w:rFonts w:ascii="Cambria" w:hAnsi="Cambria" w:cs="Calibri"/>
                <w:b/>
                <w:bCs/>
                <w:color w:val="FFFFFF"/>
                <w:sz w:val="28"/>
                <w:szCs w:val="28"/>
              </w:rPr>
              <w:t>3</w:t>
            </w:r>
          </w:p>
        </w:tc>
        <w:tc>
          <w:tcPr>
            <w:tcW w:w="976" w:type="dxa"/>
            <w:tcBorders>
              <w:top w:val="nil"/>
              <w:left w:val="nil"/>
              <w:bottom w:val="single" w:sz="8" w:space="0" w:color="auto"/>
              <w:right w:val="single" w:sz="4" w:space="0" w:color="auto"/>
            </w:tcBorders>
            <w:shd w:val="clear" w:color="000000" w:fill="FFFF00"/>
            <w:noWrap/>
            <w:vAlign w:val="bottom"/>
            <w:hideMark/>
          </w:tcPr>
          <w:p w14:paraId="0C5C6FA1"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0</w:t>
            </w:r>
          </w:p>
        </w:tc>
        <w:tc>
          <w:tcPr>
            <w:tcW w:w="1270" w:type="dxa"/>
            <w:tcBorders>
              <w:top w:val="nil"/>
              <w:left w:val="nil"/>
              <w:bottom w:val="single" w:sz="8" w:space="0" w:color="auto"/>
              <w:right w:val="single" w:sz="8" w:space="0" w:color="auto"/>
            </w:tcBorders>
            <w:shd w:val="clear" w:color="000000" w:fill="92D050"/>
            <w:noWrap/>
            <w:vAlign w:val="bottom"/>
            <w:hideMark/>
          </w:tcPr>
          <w:p w14:paraId="513339D8" w14:textId="77777777" w:rsidR="00656847" w:rsidRPr="00656847" w:rsidRDefault="00656847" w:rsidP="00656847">
            <w:pPr>
              <w:jc w:val="center"/>
              <w:rPr>
                <w:rFonts w:ascii="Cambria" w:hAnsi="Cambria" w:cs="Calibri"/>
                <w:b/>
                <w:bCs/>
                <w:color w:val="000000"/>
                <w:sz w:val="28"/>
                <w:szCs w:val="28"/>
              </w:rPr>
            </w:pPr>
            <w:r w:rsidRPr="00656847">
              <w:rPr>
                <w:rFonts w:ascii="Cambria" w:hAnsi="Cambria" w:cs="Calibri"/>
                <w:b/>
                <w:bCs/>
                <w:color w:val="000000"/>
                <w:sz w:val="28"/>
                <w:szCs w:val="28"/>
              </w:rPr>
              <w:t>8</w:t>
            </w:r>
          </w:p>
        </w:tc>
      </w:tr>
    </w:tbl>
    <w:p w14:paraId="5955173C" w14:textId="7B346CCF" w:rsidR="00656847" w:rsidRPr="00656847" w:rsidRDefault="00656847" w:rsidP="00656847">
      <w:pPr>
        <w:pStyle w:val="NoSpacing"/>
      </w:pPr>
    </w:p>
    <w:p w14:paraId="5F16CFD9" w14:textId="6C46555B" w:rsidR="00CA10E9" w:rsidRPr="00656847" w:rsidRDefault="00CA10E9" w:rsidP="00656847">
      <w:pPr>
        <w:pStyle w:val="NoSpacing"/>
      </w:pPr>
    </w:p>
    <w:p w14:paraId="61456218" w14:textId="28CD1BE0" w:rsidR="00FA3E28" w:rsidRDefault="00FA3E28" w:rsidP="00656847">
      <w:pPr>
        <w:pStyle w:val="NoSpacing"/>
      </w:pPr>
    </w:p>
    <w:p w14:paraId="4F299545" w14:textId="77777777" w:rsidR="002A6785" w:rsidRPr="00D5022B" w:rsidRDefault="002A6785" w:rsidP="002A6785">
      <w:pPr>
        <w:pStyle w:val="NoSpacing"/>
        <w:rPr>
          <w:rFonts w:asciiTheme="majorHAnsi" w:hAnsiTheme="majorHAnsi" w:cs="Segoe UI Historic"/>
          <w:b/>
          <w:color w:val="984806" w:themeColor="accent6" w:themeShade="80"/>
          <w:sz w:val="28"/>
          <w:szCs w:val="28"/>
        </w:rPr>
      </w:pPr>
      <w:bookmarkStart w:id="11" w:name="_Hlk42070660"/>
      <w:r w:rsidRPr="00D5022B">
        <w:rPr>
          <w:rFonts w:asciiTheme="majorHAnsi" w:hAnsiTheme="majorHAnsi" w:cs="Segoe UI Historic"/>
          <w:b/>
          <w:color w:val="984806" w:themeColor="accent6" w:themeShade="80"/>
          <w:sz w:val="36"/>
          <w:szCs w:val="36"/>
        </w:rPr>
        <w:lastRenderedPageBreak/>
        <w:t>Rolling Plains Management Corporation</w:t>
      </w:r>
      <w:r w:rsidRPr="00D5022B">
        <w:rPr>
          <w:rFonts w:asciiTheme="majorHAnsi" w:hAnsiTheme="majorHAnsi" w:cs="Segoe UI Historic"/>
          <w:b/>
          <w:color w:val="984806" w:themeColor="accent6" w:themeShade="80"/>
          <w:sz w:val="32"/>
          <w:szCs w:val="32"/>
        </w:rPr>
        <w:t xml:space="preserve">, </w:t>
      </w:r>
      <w:r w:rsidRPr="00D5022B">
        <w:rPr>
          <w:rFonts w:asciiTheme="majorHAnsi" w:hAnsiTheme="majorHAnsi" w:cs="Segoe UI Historic"/>
          <w:b/>
          <w:color w:val="984806" w:themeColor="accent6" w:themeShade="80"/>
          <w:sz w:val="20"/>
          <w:szCs w:val="20"/>
        </w:rPr>
        <w:t>(RPMC)</w:t>
      </w:r>
      <w:r w:rsidRPr="00D5022B">
        <w:rPr>
          <w:rFonts w:asciiTheme="majorHAnsi" w:hAnsiTheme="majorHAnsi" w:cs="Segoe UI Historic"/>
          <w:b/>
          <w:color w:val="984806" w:themeColor="accent6" w:themeShade="80"/>
          <w:sz w:val="28"/>
          <w:szCs w:val="28"/>
        </w:rPr>
        <w:t xml:space="preserve"> </w:t>
      </w:r>
    </w:p>
    <w:p w14:paraId="6E92F4CD" w14:textId="77777777" w:rsidR="002A6785" w:rsidRPr="002A6785" w:rsidRDefault="002A6785" w:rsidP="00E02303">
      <w:pPr>
        <w:pStyle w:val="NoSpacing"/>
        <w:rPr>
          <w:rFonts w:asciiTheme="majorHAnsi" w:hAnsiTheme="majorHAnsi"/>
          <w:b/>
          <w:bCs/>
          <w:color w:val="002060"/>
          <w:sz w:val="16"/>
          <w:szCs w:val="16"/>
        </w:rPr>
      </w:pPr>
    </w:p>
    <w:p w14:paraId="7B882AE2" w14:textId="31A27322" w:rsidR="00E02303" w:rsidRDefault="00E02303" w:rsidP="00E02303">
      <w:pPr>
        <w:pStyle w:val="NoSpacing"/>
        <w:rPr>
          <w:rFonts w:asciiTheme="majorHAnsi" w:hAnsiTheme="majorHAnsi"/>
          <w:color w:val="002060"/>
          <w:sz w:val="28"/>
          <w:szCs w:val="28"/>
        </w:rPr>
      </w:pPr>
      <w:r w:rsidRPr="00D5022B">
        <w:rPr>
          <w:rFonts w:asciiTheme="majorHAnsi" w:hAnsiTheme="majorHAnsi"/>
          <w:color w:val="984806" w:themeColor="accent6" w:themeShade="80"/>
          <w:sz w:val="28"/>
          <w:szCs w:val="28"/>
        </w:rPr>
        <w:t>OVERALL</w:t>
      </w:r>
      <w:r w:rsidRPr="002A6785">
        <w:rPr>
          <w:rFonts w:asciiTheme="majorHAnsi" w:hAnsiTheme="majorHAnsi"/>
          <w:color w:val="002060"/>
          <w:sz w:val="28"/>
          <w:szCs w:val="28"/>
        </w:rPr>
        <w:t xml:space="preserve"> </w:t>
      </w:r>
    </w:p>
    <w:tbl>
      <w:tblPr>
        <w:tblW w:w="9471" w:type="dxa"/>
        <w:tblInd w:w="-10" w:type="dxa"/>
        <w:tblLook w:val="04A0" w:firstRow="1" w:lastRow="0" w:firstColumn="1" w:lastColumn="0" w:noHBand="0" w:noVBand="1"/>
      </w:tblPr>
      <w:tblGrid>
        <w:gridCol w:w="1115"/>
        <w:gridCol w:w="1341"/>
        <w:gridCol w:w="1255"/>
        <w:gridCol w:w="1080"/>
        <w:gridCol w:w="1080"/>
        <w:gridCol w:w="1170"/>
        <w:gridCol w:w="1170"/>
        <w:gridCol w:w="1260"/>
      </w:tblGrid>
      <w:tr w:rsidR="00862786" w14:paraId="692ED910" w14:textId="77777777" w:rsidTr="00862786">
        <w:trPr>
          <w:trHeight w:val="1116"/>
        </w:trPr>
        <w:tc>
          <w:tcPr>
            <w:tcW w:w="1115" w:type="dxa"/>
            <w:tcBorders>
              <w:top w:val="single" w:sz="8" w:space="0" w:color="auto"/>
              <w:left w:val="single" w:sz="8" w:space="0" w:color="auto"/>
              <w:bottom w:val="single" w:sz="8" w:space="0" w:color="auto"/>
              <w:right w:val="single" w:sz="4" w:space="0" w:color="auto"/>
            </w:tcBorders>
            <w:shd w:val="clear" w:color="auto" w:fill="auto"/>
            <w:vAlign w:val="bottom"/>
            <w:hideMark/>
          </w:tcPr>
          <w:bookmarkEnd w:id="11"/>
          <w:p w14:paraId="03F8126D" w14:textId="77777777" w:rsidR="00862786" w:rsidRDefault="00862786">
            <w:pPr>
              <w:jc w:val="center"/>
              <w:rPr>
                <w:rFonts w:ascii="Cambria" w:hAnsi="Cambria" w:cs="Calibri"/>
                <w:b/>
                <w:bCs/>
                <w:color w:val="1F497D"/>
                <w:sz w:val="22"/>
                <w:szCs w:val="22"/>
              </w:rPr>
            </w:pPr>
            <w:r w:rsidRPr="00D5022B">
              <w:rPr>
                <w:rFonts w:ascii="Cambria" w:hAnsi="Cambria" w:cs="Calibri"/>
                <w:b/>
                <w:bCs/>
                <w:color w:val="984806" w:themeColor="accent6" w:themeShade="80"/>
                <w:sz w:val="22"/>
                <w:szCs w:val="22"/>
              </w:rPr>
              <w:t>Risk Category</w:t>
            </w:r>
          </w:p>
        </w:tc>
        <w:tc>
          <w:tcPr>
            <w:tcW w:w="1341" w:type="dxa"/>
            <w:tcBorders>
              <w:top w:val="single" w:sz="8" w:space="0" w:color="auto"/>
              <w:left w:val="nil"/>
              <w:bottom w:val="single" w:sz="8" w:space="0" w:color="auto"/>
              <w:right w:val="single" w:sz="4" w:space="0" w:color="auto"/>
            </w:tcBorders>
            <w:shd w:val="clear" w:color="auto" w:fill="auto"/>
            <w:vAlign w:val="bottom"/>
            <w:hideMark/>
          </w:tcPr>
          <w:p w14:paraId="5EE79BB0" w14:textId="77777777" w:rsidR="00862786" w:rsidRDefault="00862786">
            <w:pPr>
              <w:jc w:val="center"/>
              <w:rPr>
                <w:rFonts w:ascii="Cambria" w:hAnsi="Cambria" w:cs="Calibri"/>
                <w:b/>
                <w:bCs/>
                <w:sz w:val="20"/>
                <w:szCs w:val="20"/>
              </w:rPr>
            </w:pPr>
            <w:r>
              <w:rPr>
                <w:rFonts w:ascii="Cambria" w:hAnsi="Cambria" w:cs="Calibri"/>
                <w:b/>
                <w:bCs/>
                <w:sz w:val="20"/>
                <w:szCs w:val="20"/>
              </w:rPr>
              <w:t xml:space="preserve">Maximum Risk Score </w:t>
            </w:r>
          </w:p>
        </w:tc>
        <w:tc>
          <w:tcPr>
            <w:tcW w:w="1255" w:type="dxa"/>
            <w:tcBorders>
              <w:top w:val="single" w:sz="8" w:space="0" w:color="auto"/>
              <w:left w:val="nil"/>
              <w:bottom w:val="single" w:sz="8" w:space="0" w:color="auto"/>
              <w:right w:val="single" w:sz="4" w:space="0" w:color="auto"/>
            </w:tcBorders>
            <w:shd w:val="clear" w:color="auto" w:fill="auto"/>
            <w:vAlign w:val="bottom"/>
            <w:hideMark/>
          </w:tcPr>
          <w:p w14:paraId="764CA2B3" w14:textId="0720A051" w:rsidR="00862786" w:rsidRDefault="00862786">
            <w:pPr>
              <w:jc w:val="center"/>
              <w:rPr>
                <w:rFonts w:ascii="Cambria" w:hAnsi="Cambria" w:cs="Calibri"/>
                <w:b/>
                <w:bCs/>
                <w:sz w:val="20"/>
                <w:szCs w:val="20"/>
              </w:rPr>
            </w:pPr>
            <w:r>
              <w:rPr>
                <w:rFonts w:ascii="Cambria" w:hAnsi="Cambria" w:cs="Calibri"/>
                <w:b/>
                <w:bCs/>
                <w:sz w:val="20"/>
                <w:szCs w:val="20"/>
              </w:rPr>
              <w:t>Entity Score</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750A9F37" w14:textId="77777777" w:rsidR="00862786" w:rsidRDefault="00862786">
            <w:pPr>
              <w:jc w:val="center"/>
              <w:rPr>
                <w:rFonts w:ascii="Cambria" w:hAnsi="Cambria" w:cs="Calibri"/>
                <w:b/>
                <w:bCs/>
                <w:sz w:val="20"/>
                <w:szCs w:val="20"/>
              </w:rPr>
            </w:pPr>
            <w:r>
              <w:rPr>
                <w:rFonts w:ascii="Cambria" w:hAnsi="Cambria" w:cs="Calibri"/>
                <w:b/>
                <w:bCs/>
                <w:sz w:val="20"/>
                <w:szCs w:val="20"/>
              </w:rPr>
              <w:t>Risk Rank</w:t>
            </w:r>
          </w:p>
        </w:tc>
        <w:tc>
          <w:tcPr>
            <w:tcW w:w="1080" w:type="dxa"/>
            <w:tcBorders>
              <w:top w:val="single" w:sz="8" w:space="0" w:color="auto"/>
              <w:left w:val="nil"/>
              <w:bottom w:val="single" w:sz="8" w:space="0" w:color="auto"/>
              <w:right w:val="nil"/>
            </w:tcBorders>
            <w:shd w:val="clear" w:color="auto" w:fill="auto"/>
            <w:vAlign w:val="bottom"/>
            <w:hideMark/>
          </w:tcPr>
          <w:p w14:paraId="338AFA4A" w14:textId="77777777" w:rsidR="00862786" w:rsidRDefault="00862786">
            <w:pPr>
              <w:jc w:val="center"/>
              <w:rPr>
                <w:rFonts w:ascii="Cambria" w:hAnsi="Cambria" w:cs="Calibri"/>
                <w:b/>
                <w:bCs/>
                <w:sz w:val="20"/>
                <w:szCs w:val="20"/>
              </w:rPr>
            </w:pPr>
            <w:r>
              <w:rPr>
                <w:rFonts w:ascii="Cambria" w:hAnsi="Cambria" w:cs="Calibri"/>
                <w:b/>
                <w:bCs/>
                <w:sz w:val="20"/>
                <w:szCs w:val="20"/>
              </w:rPr>
              <w:t>Number of Risk Elements</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B0C5B7" w14:textId="196DC3FF" w:rsidR="00862786" w:rsidRDefault="00862786">
            <w:pPr>
              <w:jc w:val="center"/>
              <w:rPr>
                <w:rFonts w:ascii="Cambria" w:hAnsi="Cambria" w:cs="Calibri"/>
                <w:b/>
                <w:bCs/>
                <w:sz w:val="18"/>
                <w:szCs w:val="18"/>
              </w:rPr>
            </w:pPr>
            <w:r>
              <w:rPr>
                <w:rFonts w:ascii="Cambria" w:hAnsi="Cambria" w:cs="Calibri"/>
                <w:b/>
                <w:bCs/>
                <w:sz w:val="18"/>
                <w:szCs w:val="18"/>
              </w:rPr>
              <w:t>Number of high-risk elements</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14:paraId="199DFFB5" w14:textId="77777777" w:rsidR="00862786" w:rsidRDefault="00862786">
            <w:pPr>
              <w:jc w:val="center"/>
              <w:rPr>
                <w:rFonts w:ascii="Cambria" w:hAnsi="Cambria" w:cs="Calibri"/>
                <w:b/>
                <w:bCs/>
                <w:sz w:val="18"/>
                <w:szCs w:val="18"/>
              </w:rPr>
            </w:pPr>
            <w:r>
              <w:rPr>
                <w:rFonts w:ascii="Cambria" w:hAnsi="Cambria" w:cs="Calibri"/>
                <w:b/>
                <w:bCs/>
                <w:sz w:val="18"/>
                <w:szCs w:val="18"/>
              </w:rPr>
              <w:t>Number of medium risk elements</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5D6790E7" w14:textId="0EC0E638" w:rsidR="00862786" w:rsidRDefault="00862786">
            <w:pPr>
              <w:jc w:val="center"/>
              <w:rPr>
                <w:rFonts w:ascii="Cambria" w:hAnsi="Cambria" w:cs="Calibri"/>
                <w:b/>
                <w:bCs/>
                <w:sz w:val="18"/>
                <w:szCs w:val="18"/>
              </w:rPr>
            </w:pPr>
            <w:r>
              <w:rPr>
                <w:rFonts w:ascii="Cambria" w:hAnsi="Cambria" w:cs="Calibri"/>
                <w:b/>
                <w:bCs/>
                <w:sz w:val="18"/>
                <w:szCs w:val="18"/>
              </w:rPr>
              <w:t>Number of low-risk elements</w:t>
            </w:r>
          </w:p>
        </w:tc>
      </w:tr>
      <w:tr w:rsidR="00862786" w14:paraId="44BC9039" w14:textId="77777777" w:rsidTr="00862786">
        <w:trPr>
          <w:trHeight w:val="312"/>
        </w:trPr>
        <w:tc>
          <w:tcPr>
            <w:tcW w:w="1115" w:type="dxa"/>
            <w:tcBorders>
              <w:top w:val="nil"/>
              <w:left w:val="single" w:sz="8" w:space="0" w:color="auto"/>
              <w:bottom w:val="single" w:sz="8" w:space="0" w:color="auto"/>
              <w:right w:val="single" w:sz="4" w:space="0" w:color="auto"/>
            </w:tcBorders>
            <w:shd w:val="clear" w:color="auto" w:fill="auto"/>
            <w:vAlign w:val="bottom"/>
            <w:hideMark/>
          </w:tcPr>
          <w:p w14:paraId="454A3146" w14:textId="6C38F41C" w:rsidR="00862786" w:rsidRPr="00862786" w:rsidRDefault="00862786">
            <w:pPr>
              <w:rPr>
                <w:rFonts w:ascii="Cambria" w:hAnsi="Cambria" w:cs="Calibri"/>
                <w:color w:val="000000"/>
                <w:sz w:val="28"/>
                <w:szCs w:val="28"/>
              </w:rPr>
            </w:pPr>
            <w:r w:rsidRPr="00862786">
              <w:rPr>
                <w:rFonts w:ascii="Cambria" w:hAnsi="Cambria" w:cs="Calibri"/>
                <w:color w:val="000000"/>
                <w:sz w:val="28"/>
                <w:szCs w:val="28"/>
              </w:rPr>
              <w:t>Overall</w:t>
            </w:r>
          </w:p>
        </w:tc>
        <w:tc>
          <w:tcPr>
            <w:tcW w:w="1341" w:type="dxa"/>
            <w:tcBorders>
              <w:top w:val="nil"/>
              <w:left w:val="nil"/>
              <w:bottom w:val="single" w:sz="8" w:space="0" w:color="auto"/>
              <w:right w:val="single" w:sz="4" w:space="0" w:color="auto"/>
            </w:tcBorders>
            <w:shd w:val="clear" w:color="auto" w:fill="auto"/>
            <w:noWrap/>
            <w:vAlign w:val="bottom"/>
            <w:hideMark/>
          </w:tcPr>
          <w:p w14:paraId="4A512AF0"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 xml:space="preserve">           3,741.00 </w:t>
            </w:r>
          </w:p>
        </w:tc>
        <w:tc>
          <w:tcPr>
            <w:tcW w:w="1255" w:type="dxa"/>
            <w:tcBorders>
              <w:top w:val="nil"/>
              <w:left w:val="nil"/>
              <w:bottom w:val="single" w:sz="8" w:space="0" w:color="auto"/>
              <w:right w:val="single" w:sz="4" w:space="0" w:color="auto"/>
            </w:tcBorders>
            <w:shd w:val="clear" w:color="auto" w:fill="auto"/>
            <w:noWrap/>
            <w:vAlign w:val="bottom"/>
            <w:hideMark/>
          </w:tcPr>
          <w:p w14:paraId="26E9113B"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 xml:space="preserve">            904.00 </w:t>
            </w:r>
          </w:p>
        </w:tc>
        <w:tc>
          <w:tcPr>
            <w:tcW w:w="1080" w:type="dxa"/>
            <w:tcBorders>
              <w:top w:val="single" w:sz="4" w:space="0" w:color="auto"/>
              <w:left w:val="single" w:sz="8" w:space="0" w:color="auto"/>
              <w:bottom w:val="single" w:sz="4" w:space="0" w:color="auto"/>
              <w:right w:val="single" w:sz="4" w:space="0" w:color="auto"/>
            </w:tcBorders>
            <w:shd w:val="clear" w:color="000000" w:fill="92D050"/>
            <w:noWrap/>
            <w:vAlign w:val="bottom"/>
            <w:hideMark/>
          </w:tcPr>
          <w:p w14:paraId="5646C851"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LH</w:t>
            </w:r>
          </w:p>
        </w:tc>
        <w:tc>
          <w:tcPr>
            <w:tcW w:w="1080" w:type="dxa"/>
            <w:tcBorders>
              <w:top w:val="nil"/>
              <w:left w:val="nil"/>
              <w:bottom w:val="single" w:sz="8" w:space="0" w:color="auto"/>
              <w:right w:val="nil"/>
            </w:tcBorders>
            <w:shd w:val="clear" w:color="auto" w:fill="auto"/>
            <w:noWrap/>
            <w:vAlign w:val="bottom"/>
            <w:hideMark/>
          </w:tcPr>
          <w:p w14:paraId="747FBAFE"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129</w:t>
            </w:r>
          </w:p>
        </w:tc>
        <w:tc>
          <w:tcPr>
            <w:tcW w:w="1170" w:type="dxa"/>
            <w:tcBorders>
              <w:top w:val="nil"/>
              <w:left w:val="single" w:sz="8" w:space="0" w:color="auto"/>
              <w:bottom w:val="single" w:sz="8" w:space="0" w:color="auto"/>
              <w:right w:val="single" w:sz="8" w:space="0" w:color="auto"/>
            </w:tcBorders>
            <w:shd w:val="clear" w:color="000000" w:fill="FF0000"/>
            <w:noWrap/>
            <w:vAlign w:val="bottom"/>
            <w:hideMark/>
          </w:tcPr>
          <w:p w14:paraId="63358DDE"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6</w:t>
            </w:r>
          </w:p>
        </w:tc>
        <w:tc>
          <w:tcPr>
            <w:tcW w:w="1170" w:type="dxa"/>
            <w:tcBorders>
              <w:top w:val="nil"/>
              <w:left w:val="nil"/>
              <w:bottom w:val="single" w:sz="8" w:space="0" w:color="auto"/>
              <w:right w:val="single" w:sz="4" w:space="0" w:color="auto"/>
            </w:tcBorders>
            <w:shd w:val="clear" w:color="000000" w:fill="FFFF00"/>
            <w:noWrap/>
            <w:vAlign w:val="bottom"/>
            <w:hideMark/>
          </w:tcPr>
          <w:p w14:paraId="1890778F"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44</w:t>
            </w:r>
          </w:p>
        </w:tc>
        <w:tc>
          <w:tcPr>
            <w:tcW w:w="1260" w:type="dxa"/>
            <w:tcBorders>
              <w:top w:val="nil"/>
              <w:left w:val="nil"/>
              <w:bottom w:val="single" w:sz="8" w:space="0" w:color="auto"/>
              <w:right w:val="single" w:sz="8" w:space="0" w:color="auto"/>
            </w:tcBorders>
            <w:shd w:val="clear" w:color="000000" w:fill="92D050"/>
            <w:noWrap/>
            <w:vAlign w:val="bottom"/>
            <w:hideMark/>
          </w:tcPr>
          <w:p w14:paraId="794770BA" w14:textId="77777777" w:rsidR="00862786" w:rsidRPr="00862786" w:rsidRDefault="00862786">
            <w:pPr>
              <w:jc w:val="center"/>
              <w:rPr>
                <w:rFonts w:ascii="Cambria" w:hAnsi="Cambria" w:cs="Calibri"/>
                <w:b/>
                <w:bCs/>
                <w:color w:val="000000"/>
                <w:sz w:val="28"/>
                <w:szCs w:val="28"/>
              </w:rPr>
            </w:pPr>
            <w:r w:rsidRPr="00862786">
              <w:rPr>
                <w:rFonts w:ascii="Cambria" w:hAnsi="Cambria" w:cs="Calibri"/>
                <w:b/>
                <w:bCs/>
                <w:color w:val="000000"/>
                <w:sz w:val="28"/>
                <w:szCs w:val="28"/>
              </w:rPr>
              <w:t>79</w:t>
            </w:r>
          </w:p>
        </w:tc>
      </w:tr>
    </w:tbl>
    <w:p w14:paraId="5D9656E3" w14:textId="13FFF4EB" w:rsidR="00693F1F" w:rsidRPr="00656847" w:rsidRDefault="00693F1F" w:rsidP="00656847">
      <w:pPr>
        <w:pStyle w:val="NoSpacing"/>
      </w:pPr>
    </w:p>
    <w:p w14:paraId="5D6385B4" w14:textId="7D50E41F" w:rsidR="00656847" w:rsidRPr="00D5022B" w:rsidRDefault="00656847" w:rsidP="00693F1F">
      <w:pPr>
        <w:pStyle w:val="NoSpacing"/>
        <w:rPr>
          <w:rFonts w:ascii="Bahnschrift SemiLight" w:hAnsi="Bahnschrift SemiLight"/>
          <w:b/>
          <w:bCs/>
          <w:color w:val="984806" w:themeColor="accent6" w:themeShade="80"/>
          <w:sz w:val="16"/>
          <w:szCs w:val="16"/>
        </w:rPr>
      </w:pPr>
      <w:r w:rsidRPr="00D5022B">
        <w:rPr>
          <w:rFonts w:asciiTheme="majorHAnsi" w:hAnsiTheme="majorHAnsi"/>
          <w:color w:val="984806" w:themeColor="accent6" w:themeShade="80"/>
          <w:sz w:val="28"/>
          <w:szCs w:val="28"/>
        </w:rPr>
        <w:t xml:space="preserve">CATEGORICAL </w:t>
      </w:r>
    </w:p>
    <w:tbl>
      <w:tblPr>
        <w:tblpPr w:leftFromText="180" w:rightFromText="180" w:vertAnchor="text" w:horzAnchor="margin" w:tblpY="270"/>
        <w:tblW w:w="9890" w:type="dxa"/>
        <w:tblLook w:val="04A0" w:firstRow="1" w:lastRow="0" w:firstColumn="1" w:lastColumn="0" w:noHBand="0" w:noVBand="1"/>
      </w:tblPr>
      <w:tblGrid>
        <w:gridCol w:w="2030"/>
        <w:gridCol w:w="1210"/>
        <w:gridCol w:w="1080"/>
        <w:gridCol w:w="1260"/>
        <w:gridCol w:w="1080"/>
        <w:gridCol w:w="990"/>
        <w:gridCol w:w="1080"/>
        <w:gridCol w:w="1160"/>
      </w:tblGrid>
      <w:tr w:rsidR="00DC0A20" w14:paraId="6307427D" w14:textId="77777777" w:rsidTr="00DC0A20">
        <w:trPr>
          <w:trHeight w:val="1150"/>
        </w:trPr>
        <w:tc>
          <w:tcPr>
            <w:tcW w:w="203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0E2967C9" w14:textId="77777777" w:rsidR="00DC0A20" w:rsidRDefault="00DC0A20" w:rsidP="00DC0A20">
            <w:pPr>
              <w:jc w:val="center"/>
              <w:rPr>
                <w:rFonts w:ascii="Cambria" w:hAnsi="Cambria" w:cs="Calibri"/>
                <w:b/>
                <w:bCs/>
                <w:color w:val="1F497D"/>
                <w:sz w:val="22"/>
                <w:szCs w:val="22"/>
              </w:rPr>
            </w:pPr>
            <w:r w:rsidRPr="00D5022B">
              <w:rPr>
                <w:rFonts w:ascii="Cambria" w:hAnsi="Cambria" w:cs="Calibri"/>
                <w:b/>
                <w:bCs/>
                <w:color w:val="984806" w:themeColor="accent6" w:themeShade="80"/>
                <w:sz w:val="22"/>
                <w:szCs w:val="22"/>
              </w:rPr>
              <w:t>Risk Category</w:t>
            </w:r>
          </w:p>
        </w:tc>
        <w:tc>
          <w:tcPr>
            <w:tcW w:w="1210" w:type="dxa"/>
            <w:tcBorders>
              <w:top w:val="single" w:sz="8" w:space="0" w:color="auto"/>
              <w:left w:val="nil"/>
              <w:bottom w:val="single" w:sz="8" w:space="0" w:color="auto"/>
              <w:right w:val="single" w:sz="4" w:space="0" w:color="auto"/>
            </w:tcBorders>
            <w:shd w:val="clear" w:color="auto" w:fill="auto"/>
            <w:vAlign w:val="bottom"/>
            <w:hideMark/>
          </w:tcPr>
          <w:p w14:paraId="657F522C" w14:textId="77777777" w:rsidR="00DC0A20" w:rsidRDefault="00DC0A20" w:rsidP="00DC0A20">
            <w:pPr>
              <w:jc w:val="center"/>
              <w:rPr>
                <w:rFonts w:ascii="Cambria" w:hAnsi="Cambria" w:cs="Calibri"/>
                <w:b/>
                <w:bCs/>
                <w:sz w:val="20"/>
                <w:szCs w:val="20"/>
              </w:rPr>
            </w:pPr>
            <w:r>
              <w:rPr>
                <w:rFonts w:ascii="Cambria" w:hAnsi="Cambria" w:cs="Calibri"/>
                <w:b/>
                <w:bCs/>
                <w:sz w:val="20"/>
                <w:szCs w:val="20"/>
              </w:rPr>
              <w:t>Maximum Risk Score for Category</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60805F1D" w14:textId="77777777" w:rsidR="00DC0A20" w:rsidRDefault="00DC0A20" w:rsidP="00DC0A20">
            <w:pPr>
              <w:jc w:val="center"/>
              <w:rPr>
                <w:rFonts w:ascii="Cambria" w:hAnsi="Cambria" w:cs="Calibri"/>
                <w:b/>
                <w:bCs/>
                <w:sz w:val="20"/>
                <w:szCs w:val="20"/>
              </w:rPr>
            </w:pPr>
            <w:r>
              <w:rPr>
                <w:rFonts w:ascii="Cambria" w:hAnsi="Cambria" w:cs="Calibri"/>
                <w:b/>
                <w:bCs/>
                <w:sz w:val="20"/>
                <w:szCs w:val="20"/>
              </w:rPr>
              <w:t>Entity Category Score</w:t>
            </w:r>
          </w:p>
        </w:tc>
        <w:tc>
          <w:tcPr>
            <w:tcW w:w="1260" w:type="dxa"/>
            <w:tcBorders>
              <w:top w:val="single" w:sz="8" w:space="0" w:color="auto"/>
              <w:left w:val="nil"/>
              <w:bottom w:val="single" w:sz="8" w:space="0" w:color="auto"/>
              <w:right w:val="single" w:sz="4" w:space="0" w:color="auto"/>
            </w:tcBorders>
            <w:shd w:val="clear" w:color="auto" w:fill="auto"/>
            <w:vAlign w:val="bottom"/>
            <w:hideMark/>
          </w:tcPr>
          <w:p w14:paraId="37CDC26A" w14:textId="77777777" w:rsidR="00DC0A20" w:rsidRDefault="00DC0A20" w:rsidP="00DC0A20">
            <w:pPr>
              <w:jc w:val="center"/>
              <w:rPr>
                <w:rFonts w:ascii="Cambria" w:hAnsi="Cambria" w:cs="Calibri"/>
                <w:b/>
                <w:bCs/>
                <w:sz w:val="20"/>
                <w:szCs w:val="20"/>
              </w:rPr>
            </w:pPr>
            <w:r>
              <w:rPr>
                <w:rFonts w:ascii="Cambria" w:hAnsi="Cambria" w:cs="Calibri"/>
                <w:b/>
                <w:bCs/>
                <w:sz w:val="20"/>
                <w:szCs w:val="20"/>
              </w:rPr>
              <w:t>Risk Rank for Category</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6BA81F0B" w14:textId="77777777" w:rsidR="00DC0A20" w:rsidRDefault="00DC0A20" w:rsidP="00DC0A20">
            <w:pPr>
              <w:jc w:val="center"/>
              <w:rPr>
                <w:rFonts w:ascii="Cambria" w:hAnsi="Cambria" w:cs="Calibri"/>
                <w:b/>
                <w:bCs/>
                <w:sz w:val="20"/>
                <w:szCs w:val="20"/>
              </w:rPr>
            </w:pPr>
            <w:r>
              <w:rPr>
                <w:rFonts w:ascii="Cambria" w:hAnsi="Cambria" w:cs="Calibri"/>
                <w:b/>
                <w:bCs/>
                <w:sz w:val="20"/>
                <w:szCs w:val="20"/>
              </w:rPr>
              <w:t>Number of Risk Elements in Category</w:t>
            </w:r>
          </w:p>
        </w:tc>
        <w:tc>
          <w:tcPr>
            <w:tcW w:w="990" w:type="dxa"/>
            <w:tcBorders>
              <w:top w:val="single" w:sz="8" w:space="0" w:color="auto"/>
              <w:left w:val="nil"/>
              <w:bottom w:val="single" w:sz="8" w:space="0" w:color="auto"/>
              <w:right w:val="single" w:sz="4" w:space="0" w:color="auto"/>
            </w:tcBorders>
            <w:shd w:val="clear" w:color="auto" w:fill="auto"/>
            <w:vAlign w:val="bottom"/>
            <w:hideMark/>
          </w:tcPr>
          <w:p w14:paraId="2BBBCE3A" w14:textId="45E9A8C8" w:rsidR="00DC0A20" w:rsidRDefault="00DC0A20" w:rsidP="00DC0A20">
            <w:pPr>
              <w:jc w:val="center"/>
              <w:rPr>
                <w:rFonts w:ascii="Cambria" w:hAnsi="Cambria" w:cs="Calibri"/>
                <w:b/>
                <w:bCs/>
                <w:sz w:val="18"/>
                <w:szCs w:val="18"/>
              </w:rPr>
            </w:pPr>
            <w:r>
              <w:rPr>
                <w:rFonts w:ascii="Cambria" w:hAnsi="Cambria" w:cs="Calibri"/>
                <w:b/>
                <w:bCs/>
                <w:sz w:val="18"/>
                <w:szCs w:val="18"/>
              </w:rPr>
              <w:t>Number of high-risk elements</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5EE349D4" w14:textId="77777777" w:rsidR="00DC0A20" w:rsidRDefault="00DC0A20" w:rsidP="00DC0A20">
            <w:pPr>
              <w:jc w:val="center"/>
              <w:rPr>
                <w:rFonts w:ascii="Cambria" w:hAnsi="Cambria" w:cs="Calibri"/>
                <w:b/>
                <w:bCs/>
                <w:sz w:val="18"/>
                <w:szCs w:val="18"/>
              </w:rPr>
            </w:pPr>
            <w:r>
              <w:rPr>
                <w:rFonts w:ascii="Cambria" w:hAnsi="Cambria" w:cs="Calibri"/>
                <w:b/>
                <w:bCs/>
                <w:sz w:val="18"/>
                <w:szCs w:val="18"/>
              </w:rPr>
              <w:t>Number of medium risk elements</w:t>
            </w:r>
          </w:p>
        </w:tc>
        <w:tc>
          <w:tcPr>
            <w:tcW w:w="1160" w:type="dxa"/>
            <w:tcBorders>
              <w:top w:val="single" w:sz="8" w:space="0" w:color="auto"/>
              <w:left w:val="nil"/>
              <w:bottom w:val="single" w:sz="8" w:space="0" w:color="auto"/>
              <w:right w:val="single" w:sz="8" w:space="0" w:color="auto"/>
            </w:tcBorders>
            <w:shd w:val="clear" w:color="auto" w:fill="auto"/>
            <w:vAlign w:val="bottom"/>
            <w:hideMark/>
          </w:tcPr>
          <w:p w14:paraId="50944426" w14:textId="12262E03" w:rsidR="00DC0A20" w:rsidRDefault="00DC0A20" w:rsidP="00DC0A20">
            <w:pPr>
              <w:jc w:val="center"/>
              <w:rPr>
                <w:rFonts w:ascii="Cambria" w:hAnsi="Cambria" w:cs="Calibri"/>
                <w:b/>
                <w:bCs/>
                <w:sz w:val="18"/>
                <w:szCs w:val="18"/>
              </w:rPr>
            </w:pPr>
            <w:r>
              <w:rPr>
                <w:rFonts w:ascii="Cambria" w:hAnsi="Cambria" w:cs="Calibri"/>
                <w:b/>
                <w:bCs/>
                <w:sz w:val="18"/>
                <w:szCs w:val="18"/>
              </w:rPr>
              <w:t>Number of low-risk elements</w:t>
            </w:r>
          </w:p>
        </w:tc>
      </w:tr>
      <w:tr w:rsidR="00DC0A20" w14:paraId="5DE9BA4E" w14:textId="77777777" w:rsidTr="00DC0A20">
        <w:trPr>
          <w:trHeight w:val="552"/>
        </w:trPr>
        <w:tc>
          <w:tcPr>
            <w:tcW w:w="2030" w:type="dxa"/>
            <w:tcBorders>
              <w:top w:val="nil"/>
              <w:left w:val="single" w:sz="8" w:space="0" w:color="auto"/>
              <w:bottom w:val="single" w:sz="4" w:space="0" w:color="auto"/>
              <w:right w:val="single" w:sz="4" w:space="0" w:color="auto"/>
            </w:tcBorders>
            <w:shd w:val="clear" w:color="auto" w:fill="auto"/>
            <w:vAlign w:val="bottom"/>
            <w:hideMark/>
          </w:tcPr>
          <w:p w14:paraId="288EA9B3" w14:textId="77777777" w:rsidR="00DC0A20" w:rsidRDefault="00DC0A20" w:rsidP="00DC0A20">
            <w:pPr>
              <w:rPr>
                <w:rFonts w:ascii="Cambria" w:hAnsi="Cambria" w:cs="Calibri"/>
                <w:color w:val="000000"/>
                <w:sz w:val="22"/>
                <w:szCs w:val="22"/>
              </w:rPr>
            </w:pPr>
            <w:r>
              <w:rPr>
                <w:rFonts w:ascii="Cambria" w:hAnsi="Cambria" w:cs="Calibri"/>
                <w:color w:val="000000"/>
                <w:sz w:val="22"/>
                <w:szCs w:val="22"/>
              </w:rPr>
              <w:t>Fiscal Controls and General Risk Items</w:t>
            </w:r>
          </w:p>
        </w:tc>
        <w:tc>
          <w:tcPr>
            <w:tcW w:w="1210" w:type="dxa"/>
            <w:tcBorders>
              <w:top w:val="nil"/>
              <w:left w:val="nil"/>
              <w:bottom w:val="single" w:sz="4" w:space="0" w:color="auto"/>
              <w:right w:val="single" w:sz="4" w:space="0" w:color="auto"/>
            </w:tcBorders>
            <w:shd w:val="clear" w:color="auto" w:fill="auto"/>
            <w:noWrap/>
            <w:vAlign w:val="bottom"/>
            <w:hideMark/>
          </w:tcPr>
          <w:p w14:paraId="04110E46"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638</w:t>
            </w:r>
          </w:p>
        </w:tc>
        <w:tc>
          <w:tcPr>
            <w:tcW w:w="1080" w:type="dxa"/>
            <w:tcBorders>
              <w:top w:val="nil"/>
              <w:left w:val="nil"/>
              <w:bottom w:val="single" w:sz="4" w:space="0" w:color="auto"/>
              <w:right w:val="single" w:sz="4" w:space="0" w:color="auto"/>
            </w:tcBorders>
            <w:shd w:val="clear" w:color="auto" w:fill="auto"/>
            <w:noWrap/>
            <w:vAlign w:val="bottom"/>
            <w:hideMark/>
          </w:tcPr>
          <w:p w14:paraId="1D5D4988"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102</w:t>
            </w:r>
          </w:p>
        </w:tc>
        <w:tc>
          <w:tcPr>
            <w:tcW w:w="1260" w:type="dxa"/>
            <w:tcBorders>
              <w:top w:val="single" w:sz="4" w:space="0" w:color="auto"/>
              <w:left w:val="single" w:sz="8" w:space="0" w:color="auto"/>
              <w:bottom w:val="single" w:sz="4" w:space="0" w:color="auto"/>
              <w:right w:val="single" w:sz="4" w:space="0" w:color="auto"/>
            </w:tcBorders>
            <w:shd w:val="clear" w:color="000000" w:fill="92D050"/>
            <w:noWrap/>
            <w:vAlign w:val="bottom"/>
            <w:hideMark/>
          </w:tcPr>
          <w:p w14:paraId="1EDA9F6E"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LM</w:t>
            </w:r>
          </w:p>
        </w:tc>
        <w:tc>
          <w:tcPr>
            <w:tcW w:w="1080" w:type="dxa"/>
            <w:tcBorders>
              <w:top w:val="nil"/>
              <w:left w:val="nil"/>
              <w:bottom w:val="single" w:sz="4" w:space="0" w:color="auto"/>
              <w:right w:val="single" w:sz="4" w:space="0" w:color="auto"/>
            </w:tcBorders>
            <w:shd w:val="clear" w:color="auto" w:fill="auto"/>
            <w:noWrap/>
            <w:vAlign w:val="bottom"/>
            <w:hideMark/>
          </w:tcPr>
          <w:p w14:paraId="4422FB34"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22</w:t>
            </w:r>
          </w:p>
        </w:tc>
        <w:tc>
          <w:tcPr>
            <w:tcW w:w="990" w:type="dxa"/>
            <w:tcBorders>
              <w:top w:val="nil"/>
              <w:left w:val="nil"/>
              <w:bottom w:val="single" w:sz="4" w:space="0" w:color="auto"/>
              <w:right w:val="single" w:sz="4" w:space="0" w:color="auto"/>
            </w:tcBorders>
            <w:shd w:val="clear" w:color="000000" w:fill="FF0000"/>
            <w:noWrap/>
            <w:vAlign w:val="bottom"/>
            <w:hideMark/>
          </w:tcPr>
          <w:p w14:paraId="0D0BD53B"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0</w:t>
            </w:r>
          </w:p>
        </w:tc>
        <w:tc>
          <w:tcPr>
            <w:tcW w:w="1080" w:type="dxa"/>
            <w:tcBorders>
              <w:top w:val="nil"/>
              <w:left w:val="nil"/>
              <w:bottom w:val="single" w:sz="4" w:space="0" w:color="auto"/>
              <w:right w:val="single" w:sz="4" w:space="0" w:color="auto"/>
            </w:tcBorders>
            <w:shd w:val="clear" w:color="000000" w:fill="FFFF00"/>
            <w:noWrap/>
            <w:vAlign w:val="bottom"/>
            <w:hideMark/>
          </w:tcPr>
          <w:p w14:paraId="19FFFC06"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5</w:t>
            </w:r>
          </w:p>
        </w:tc>
        <w:tc>
          <w:tcPr>
            <w:tcW w:w="1160" w:type="dxa"/>
            <w:tcBorders>
              <w:top w:val="nil"/>
              <w:left w:val="nil"/>
              <w:bottom w:val="single" w:sz="4" w:space="0" w:color="auto"/>
              <w:right w:val="single" w:sz="8" w:space="0" w:color="auto"/>
            </w:tcBorders>
            <w:shd w:val="clear" w:color="000000" w:fill="92D050"/>
            <w:noWrap/>
            <w:vAlign w:val="bottom"/>
            <w:hideMark/>
          </w:tcPr>
          <w:p w14:paraId="0C741F84"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17</w:t>
            </w:r>
          </w:p>
        </w:tc>
      </w:tr>
      <w:tr w:rsidR="00DC0A20" w14:paraId="1D52B23E" w14:textId="77777777" w:rsidTr="00DC0A20">
        <w:trPr>
          <w:trHeight w:val="300"/>
        </w:trPr>
        <w:tc>
          <w:tcPr>
            <w:tcW w:w="2030" w:type="dxa"/>
            <w:tcBorders>
              <w:top w:val="nil"/>
              <w:left w:val="single" w:sz="8" w:space="0" w:color="auto"/>
              <w:bottom w:val="single" w:sz="4" w:space="0" w:color="auto"/>
              <w:right w:val="single" w:sz="4" w:space="0" w:color="auto"/>
            </w:tcBorders>
            <w:shd w:val="clear" w:color="auto" w:fill="auto"/>
            <w:vAlign w:val="bottom"/>
            <w:hideMark/>
          </w:tcPr>
          <w:p w14:paraId="6A9D3ABE" w14:textId="77777777" w:rsidR="00DC0A20" w:rsidRDefault="00DC0A20" w:rsidP="00DC0A20">
            <w:pPr>
              <w:rPr>
                <w:rFonts w:ascii="Cambria" w:hAnsi="Cambria" w:cs="Calibri"/>
                <w:color w:val="000000"/>
                <w:sz w:val="22"/>
                <w:szCs w:val="22"/>
              </w:rPr>
            </w:pPr>
            <w:r>
              <w:rPr>
                <w:rFonts w:ascii="Cambria" w:hAnsi="Cambria" w:cs="Calibri"/>
                <w:color w:val="000000"/>
                <w:sz w:val="22"/>
                <w:szCs w:val="22"/>
              </w:rPr>
              <w:t>Cash Management</w:t>
            </w:r>
          </w:p>
        </w:tc>
        <w:tc>
          <w:tcPr>
            <w:tcW w:w="1210" w:type="dxa"/>
            <w:tcBorders>
              <w:top w:val="nil"/>
              <w:left w:val="nil"/>
              <w:bottom w:val="single" w:sz="4" w:space="0" w:color="auto"/>
              <w:right w:val="single" w:sz="4" w:space="0" w:color="auto"/>
            </w:tcBorders>
            <w:shd w:val="clear" w:color="auto" w:fill="auto"/>
            <w:noWrap/>
            <w:vAlign w:val="bottom"/>
            <w:hideMark/>
          </w:tcPr>
          <w:p w14:paraId="2CE38742"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783</w:t>
            </w:r>
          </w:p>
        </w:tc>
        <w:tc>
          <w:tcPr>
            <w:tcW w:w="1080" w:type="dxa"/>
            <w:tcBorders>
              <w:top w:val="nil"/>
              <w:left w:val="nil"/>
              <w:bottom w:val="single" w:sz="4" w:space="0" w:color="auto"/>
              <w:right w:val="single" w:sz="4" w:space="0" w:color="auto"/>
            </w:tcBorders>
            <w:shd w:val="clear" w:color="auto" w:fill="auto"/>
            <w:noWrap/>
            <w:vAlign w:val="bottom"/>
            <w:hideMark/>
          </w:tcPr>
          <w:p w14:paraId="2FC8A899"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124</w:t>
            </w:r>
          </w:p>
        </w:tc>
        <w:tc>
          <w:tcPr>
            <w:tcW w:w="1260" w:type="dxa"/>
            <w:tcBorders>
              <w:top w:val="nil"/>
              <w:left w:val="single" w:sz="8" w:space="0" w:color="auto"/>
              <w:bottom w:val="single" w:sz="4" w:space="0" w:color="auto"/>
              <w:right w:val="single" w:sz="4" w:space="0" w:color="auto"/>
            </w:tcBorders>
            <w:shd w:val="clear" w:color="000000" w:fill="92D050"/>
            <w:noWrap/>
            <w:vAlign w:val="bottom"/>
            <w:hideMark/>
          </w:tcPr>
          <w:p w14:paraId="3FF8C335"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LM</w:t>
            </w:r>
          </w:p>
        </w:tc>
        <w:tc>
          <w:tcPr>
            <w:tcW w:w="1080" w:type="dxa"/>
            <w:tcBorders>
              <w:top w:val="nil"/>
              <w:left w:val="nil"/>
              <w:bottom w:val="single" w:sz="4" w:space="0" w:color="auto"/>
              <w:right w:val="single" w:sz="4" w:space="0" w:color="auto"/>
            </w:tcBorders>
            <w:shd w:val="clear" w:color="auto" w:fill="auto"/>
            <w:noWrap/>
            <w:vAlign w:val="bottom"/>
            <w:hideMark/>
          </w:tcPr>
          <w:p w14:paraId="4565A8FC"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27</w:t>
            </w:r>
          </w:p>
        </w:tc>
        <w:tc>
          <w:tcPr>
            <w:tcW w:w="990" w:type="dxa"/>
            <w:tcBorders>
              <w:top w:val="nil"/>
              <w:left w:val="nil"/>
              <w:bottom w:val="single" w:sz="4" w:space="0" w:color="auto"/>
              <w:right w:val="single" w:sz="4" w:space="0" w:color="auto"/>
            </w:tcBorders>
            <w:shd w:val="clear" w:color="000000" w:fill="FF0000"/>
            <w:noWrap/>
            <w:vAlign w:val="bottom"/>
            <w:hideMark/>
          </w:tcPr>
          <w:p w14:paraId="6810B87E"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w:t>
            </w:r>
          </w:p>
        </w:tc>
        <w:tc>
          <w:tcPr>
            <w:tcW w:w="1080" w:type="dxa"/>
            <w:tcBorders>
              <w:top w:val="nil"/>
              <w:left w:val="nil"/>
              <w:bottom w:val="single" w:sz="4" w:space="0" w:color="auto"/>
              <w:right w:val="single" w:sz="4" w:space="0" w:color="auto"/>
            </w:tcBorders>
            <w:shd w:val="clear" w:color="000000" w:fill="FFFF00"/>
            <w:noWrap/>
            <w:vAlign w:val="bottom"/>
            <w:hideMark/>
          </w:tcPr>
          <w:p w14:paraId="648297A8"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5</w:t>
            </w:r>
          </w:p>
        </w:tc>
        <w:tc>
          <w:tcPr>
            <w:tcW w:w="1160" w:type="dxa"/>
            <w:tcBorders>
              <w:top w:val="nil"/>
              <w:left w:val="nil"/>
              <w:bottom w:val="single" w:sz="4" w:space="0" w:color="auto"/>
              <w:right w:val="single" w:sz="8" w:space="0" w:color="auto"/>
            </w:tcBorders>
            <w:shd w:val="clear" w:color="000000" w:fill="92D050"/>
            <w:noWrap/>
            <w:vAlign w:val="bottom"/>
            <w:hideMark/>
          </w:tcPr>
          <w:p w14:paraId="0100F8BA"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21</w:t>
            </w:r>
          </w:p>
        </w:tc>
      </w:tr>
      <w:tr w:rsidR="00DC0A20" w14:paraId="21CAE30A" w14:textId="77777777" w:rsidTr="00DC0A20">
        <w:trPr>
          <w:trHeight w:val="300"/>
        </w:trPr>
        <w:tc>
          <w:tcPr>
            <w:tcW w:w="2030" w:type="dxa"/>
            <w:tcBorders>
              <w:top w:val="nil"/>
              <w:left w:val="single" w:sz="8" w:space="0" w:color="auto"/>
              <w:bottom w:val="single" w:sz="4" w:space="0" w:color="auto"/>
              <w:right w:val="single" w:sz="4" w:space="0" w:color="auto"/>
            </w:tcBorders>
            <w:shd w:val="clear" w:color="auto" w:fill="auto"/>
            <w:vAlign w:val="bottom"/>
            <w:hideMark/>
          </w:tcPr>
          <w:p w14:paraId="088CB09F" w14:textId="77777777" w:rsidR="00DC0A20" w:rsidRDefault="00DC0A20" w:rsidP="00DC0A20">
            <w:pPr>
              <w:rPr>
                <w:rFonts w:ascii="Cambria" w:hAnsi="Cambria" w:cs="Calibri"/>
                <w:color w:val="000000"/>
                <w:sz w:val="22"/>
                <w:szCs w:val="22"/>
              </w:rPr>
            </w:pPr>
            <w:r>
              <w:rPr>
                <w:rFonts w:ascii="Cambria" w:hAnsi="Cambria" w:cs="Calibri"/>
                <w:color w:val="000000"/>
                <w:sz w:val="22"/>
                <w:szCs w:val="22"/>
              </w:rPr>
              <w:t>Cost Allocation</w:t>
            </w:r>
          </w:p>
        </w:tc>
        <w:tc>
          <w:tcPr>
            <w:tcW w:w="1210" w:type="dxa"/>
            <w:tcBorders>
              <w:top w:val="nil"/>
              <w:left w:val="nil"/>
              <w:bottom w:val="single" w:sz="4" w:space="0" w:color="auto"/>
              <w:right w:val="single" w:sz="4" w:space="0" w:color="auto"/>
            </w:tcBorders>
            <w:shd w:val="clear" w:color="auto" w:fill="auto"/>
            <w:noWrap/>
            <w:vAlign w:val="bottom"/>
            <w:hideMark/>
          </w:tcPr>
          <w:p w14:paraId="1860764E"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464</w:t>
            </w:r>
          </w:p>
        </w:tc>
        <w:tc>
          <w:tcPr>
            <w:tcW w:w="1080" w:type="dxa"/>
            <w:tcBorders>
              <w:top w:val="nil"/>
              <w:left w:val="nil"/>
              <w:bottom w:val="single" w:sz="4" w:space="0" w:color="auto"/>
              <w:right w:val="single" w:sz="4" w:space="0" w:color="auto"/>
            </w:tcBorders>
            <w:shd w:val="clear" w:color="auto" w:fill="auto"/>
            <w:noWrap/>
            <w:vAlign w:val="bottom"/>
            <w:hideMark/>
          </w:tcPr>
          <w:p w14:paraId="47A74273"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213</w:t>
            </w:r>
          </w:p>
        </w:tc>
        <w:tc>
          <w:tcPr>
            <w:tcW w:w="1260" w:type="dxa"/>
            <w:tcBorders>
              <w:top w:val="nil"/>
              <w:left w:val="single" w:sz="8" w:space="0" w:color="auto"/>
              <w:bottom w:val="single" w:sz="4" w:space="0" w:color="auto"/>
              <w:right w:val="single" w:sz="4" w:space="0" w:color="auto"/>
            </w:tcBorders>
            <w:shd w:val="clear" w:color="000000" w:fill="FFFF00"/>
            <w:noWrap/>
            <w:vAlign w:val="bottom"/>
            <w:hideMark/>
          </w:tcPr>
          <w:p w14:paraId="76AD0922"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MM</w:t>
            </w:r>
          </w:p>
        </w:tc>
        <w:tc>
          <w:tcPr>
            <w:tcW w:w="1080" w:type="dxa"/>
            <w:tcBorders>
              <w:top w:val="nil"/>
              <w:left w:val="nil"/>
              <w:bottom w:val="single" w:sz="4" w:space="0" w:color="auto"/>
              <w:right w:val="single" w:sz="4" w:space="0" w:color="auto"/>
            </w:tcBorders>
            <w:shd w:val="clear" w:color="auto" w:fill="auto"/>
            <w:noWrap/>
            <w:vAlign w:val="bottom"/>
            <w:hideMark/>
          </w:tcPr>
          <w:p w14:paraId="67444D4B"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16</w:t>
            </w:r>
          </w:p>
        </w:tc>
        <w:tc>
          <w:tcPr>
            <w:tcW w:w="990" w:type="dxa"/>
            <w:tcBorders>
              <w:top w:val="nil"/>
              <w:left w:val="nil"/>
              <w:bottom w:val="single" w:sz="4" w:space="0" w:color="auto"/>
              <w:right w:val="single" w:sz="4" w:space="0" w:color="auto"/>
            </w:tcBorders>
            <w:shd w:val="clear" w:color="000000" w:fill="FF0000"/>
            <w:noWrap/>
            <w:vAlign w:val="bottom"/>
            <w:hideMark/>
          </w:tcPr>
          <w:p w14:paraId="42561E79"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0</w:t>
            </w:r>
          </w:p>
        </w:tc>
        <w:tc>
          <w:tcPr>
            <w:tcW w:w="1080" w:type="dxa"/>
            <w:tcBorders>
              <w:top w:val="nil"/>
              <w:left w:val="nil"/>
              <w:bottom w:val="single" w:sz="4" w:space="0" w:color="auto"/>
              <w:right w:val="single" w:sz="4" w:space="0" w:color="auto"/>
            </w:tcBorders>
            <w:shd w:val="clear" w:color="000000" w:fill="FFFF00"/>
            <w:noWrap/>
            <w:vAlign w:val="bottom"/>
            <w:hideMark/>
          </w:tcPr>
          <w:p w14:paraId="7CDBD4D4"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13</w:t>
            </w:r>
          </w:p>
        </w:tc>
        <w:tc>
          <w:tcPr>
            <w:tcW w:w="1160" w:type="dxa"/>
            <w:tcBorders>
              <w:top w:val="nil"/>
              <w:left w:val="nil"/>
              <w:bottom w:val="single" w:sz="4" w:space="0" w:color="auto"/>
              <w:right w:val="single" w:sz="8" w:space="0" w:color="auto"/>
            </w:tcBorders>
            <w:shd w:val="clear" w:color="000000" w:fill="92D050"/>
            <w:noWrap/>
            <w:vAlign w:val="bottom"/>
            <w:hideMark/>
          </w:tcPr>
          <w:p w14:paraId="1880D728"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3</w:t>
            </w:r>
          </w:p>
        </w:tc>
      </w:tr>
      <w:tr w:rsidR="00DC0A20" w14:paraId="4767AAE0" w14:textId="77777777" w:rsidTr="00DC0A20">
        <w:trPr>
          <w:trHeight w:val="552"/>
        </w:trPr>
        <w:tc>
          <w:tcPr>
            <w:tcW w:w="2030" w:type="dxa"/>
            <w:tcBorders>
              <w:top w:val="nil"/>
              <w:left w:val="single" w:sz="8" w:space="0" w:color="auto"/>
              <w:bottom w:val="single" w:sz="4" w:space="0" w:color="auto"/>
              <w:right w:val="single" w:sz="4" w:space="0" w:color="auto"/>
            </w:tcBorders>
            <w:shd w:val="clear" w:color="auto" w:fill="auto"/>
            <w:vAlign w:val="bottom"/>
            <w:hideMark/>
          </w:tcPr>
          <w:p w14:paraId="7F74B160" w14:textId="77777777" w:rsidR="00DC0A20" w:rsidRDefault="00DC0A20" w:rsidP="00DC0A20">
            <w:pPr>
              <w:rPr>
                <w:rFonts w:ascii="Cambria" w:hAnsi="Cambria" w:cs="Calibri"/>
                <w:color w:val="000000"/>
                <w:sz w:val="22"/>
                <w:szCs w:val="22"/>
              </w:rPr>
            </w:pPr>
            <w:r>
              <w:rPr>
                <w:rFonts w:ascii="Cambria" w:hAnsi="Cambria" w:cs="Calibri"/>
                <w:color w:val="000000"/>
                <w:sz w:val="22"/>
                <w:szCs w:val="22"/>
              </w:rPr>
              <w:t>Procurement, Budgeting, Reporting</w:t>
            </w:r>
          </w:p>
        </w:tc>
        <w:tc>
          <w:tcPr>
            <w:tcW w:w="1210" w:type="dxa"/>
            <w:tcBorders>
              <w:top w:val="nil"/>
              <w:left w:val="nil"/>
              <w:bottom w:val="single" w:sz="4" w:space="0" w:color="auto"/>
              <w:right w:val="single" w:sz="4" w:space="0" w:color="auto"/>
            </w:tcBorders>
            <w:shd w:val="clear" w:color="auto" w:fill="auto"/>
            <w:noWrap/>
            <w:vAlign w:val="bottom"/>
            <w:hideMark/>
          </w:tcPr>
          <w:p w14:paraId="3AC5994D"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696</w:t>
            </w:r>
          </w:p>
        </w:tc>
        <w:tc>
          <w:tcPr>
            <w:tcW w:w="1080" w:type="dxa"/>
            <w:tcBorders>
              <w:top w:val="nil"/>
              <w:left w:val="nil"/>
              <w:bottom w:val="single" w:sz="4" w:space="0" w:color="auto"/>
              <w:right w:val="single" w:sz="4" w:space="0" w:color="auto"/>
            </w:tcBorders>
            <w:shd w:val="clear" w:color="auto" w:fill="auto"/>
            <w:noWrap/>
            <w:vAlign w:val="bottom"/>
            <w:hideMark/>
          </w:tcPr>
          <w:p w14:paraId="4996E854"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224</w:t>
            </w:r>
          </w:p>
        </w:tc>
        <w:tc>
          <w:tcPr>
            <w:tcW w:w="1260" w:type="dxa"/>
            <w:tcBorders>
              <w:top w:val="nil"/>
              <w:left w:val="single" w:sz="8" w:space="0" w:color="auto"/>
              <w:bottom w:val="single" w:sz="4" w:space="0" w:color="auto"/>
              <w:right w:val="single" w:sz="4" w:space="0" w:color="auto"/>
            </w:tcBorders>
            <w:shd w:val="clear" w:color="000000" w:fill="92D050"/>
            <w:noWrap/>
            <w:vAlign w:val="bottom"/>
            <w:hideMark/>
          </w:tcPr>
          <w:p w14:paraId="3D5BB1B0"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LH</w:t>
            </w:r>
          </w:p>
        </w:tc>
        <w:tc>
          <w:tcPr>
            <w:tcW w:w="1080" w:type="dxa"/>
            <w:tcBorders>
              <w:top w:val="nil"/>
              <w:left w:val="nil"/>
              <w:bottom w:val="single" w:sz="4" w:space="0" w:color="auto"/>
              <w:right w:val="single" w:sz="4" w:space="0" w:color="auto"/>
            </w:tcBorders>
            <w:shd w:val="clear" w:color="auto" w:fill="auto"/>
            <w:noWrap/>
            <w:vAlign w:val="bottom"/>
            <w:hideMark/>
          </w:tcPr>
          <w:p w14:paraId="01BC783F"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24</w:t>
            </w:r>
          </w:p>
        </w:tc>
        <w:tc>
          <w:tcPr>
            <w:tcW w:w="990" w:type="dxa"/>
            <w:tcBorders>
              <w:top w:val="nil"/>
              <w:left w:val="nil"/>
              <w:bottom w:val="single" w:sz="4" w:space="0" w:color="auto"/>
              <w:right w:val="single" w:sz="4" w:space="0" w:color="auto"/>
            </w:tcBorders>
            <w:shd w:val="clear" w:color="000000" w:fill="FF0000"/>
            <w:noWrap/>
            <w:vAlign w:val="bottom"/>
            <w:hideMark/>
          </w:tcPr>
          <w:p w14:paraId="365DAB0E"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5</w:t>
            </w:r>
          </w:p>
        </w:tc>
        <w:tc>
          <w:tcPr>
            <w:tcW w:w="1080" w:type="dxa"/>
            <w:tcBorders>
              <w:top w:val="nil"/>
              <w:left w:val="nil"/>
              <w:bottom w:val="single" w:sz="4" w:space="0" w:color="auto"/>
              <w:right w:val="single" w:sz="4" w:space="0" w:color="auto"/>
            </w:tcBorders>
            <w:shd w:val="clear" w:color="000000" w:fill="FFFF00"/>
            <w:noWrap/>
            <w:vAlign w:val="bottom"/>
            <w:hideMark/>
          </w:tcPr>
          <w:p w14:paraId="42780B55"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8</w:t>
            </w:r>
          </w:p>
        </w:tc>
        <w:tc>
          <w:tcPr>
            <w:tcW w:w="1160" w:type="dxa"/>
            <w:tcBorders>
              <w:top w:val="nil"/>
              <w:left w:val="nil"/>
              <w:bottom w:val="single" w:sz="4" w:space="0" w:color="auto"/>
              <w:right w:val="single" w:sz="8" w:space="0" w:color="auto"/>
            </w:tcBorders>
            <w:shd w:val="clear" w:color="000000" w:fill="92D050"/>
            <w:noWrap/>
            <w:vAlign w:val="bottom"/>
            <w:hideMark/>
          </w:tcPr>
          <w:p w14:paraId="1257A528"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11</w:t>
            </w:r>
          </w:p>
        </w:tc>
      </w:tr>
      <w:tr w:rsidR="00DC0A20" w14:paraId="5E36FD66" w14:textId="77777777" w:rsidTr="00DC0A20">
        <w:trPr>
          <w:trHeight w:val="300"/>
        </w:trPr>
        <w:tc>
          <w:tcPr>
            <w:tcW w:w="2030" w:type="dxa"/>
            <w:tcBorders>
              <w:top w:val="nil"/>
              <w:left w:val="single" w:sz="8" w:space="0" w:color="auto"/>
              <w:bottom w:val="single" w:sz="4" w:space="0" w:color="auto"/>
              <w:right w:val="single" w:sz="4" w:space="0" w:color="auto"/>
            </w:tcBorders>
            <w:shd w:val="clear" w:color="auto" w:fill="auto"/>
            <w:vAlign w:val="bottom"/>
            <w:hideMark/>
          </w:tcPr>
          <w:p w14:paraId="6F1327D1" w14:textId="77777777" w:rsidR="00DC0A20" w:rsidRDefault="00DC0A20" w:rsidP="00DC0A20">
            <w:pPr>
              <w:rPr>
                <w:rFonts w:ascii="Cambria" w:hAnsi="Cambria" w:cs="Calibri"/>
                <w:color w:val="000000"/>
                <w:sz w:val="22"/>
                <w:szCs w:val="22"/>
              </w:rPr>
            </w:pPr>
            <w:r>
              <w:rPr>
                <w:rFonts w:ascii="Cambria" w:hAnsi="Cambria" w:cs="Calibri"/>
                <w:color w:val="000000"/>
                <w:sz w:val="22"/>
                <w:szCs w:val="22"/>
              </w:rPr>
              <w:t>Audit and Monitoring</w:t>
            </w:r>
          </w:p>
        </w:tc>
        <w:tc>
          <w:tcPr>
            <w:tcW w:w="1210" w:type="dxa"/>
            <w:tcBorders>
              <w:top w:val="nil"/>
              <w:left w:val="nil"/>
              <w:bottom w:val="single" w:sz="4" w:space="0" w:color="auto"/>
              <w:right w:val="single" w:sz="4" w:space="0" w:color="auto"/>
            </w:tcBorders>
            <w:shd w:val="clear" w:color="auto" w:fill="auto"/>
            <w:noWrap/>
            <w:vAlign w:val="bottom"/>
            <w:hideMark/>
          </w:tcPr>
          <w:p w14:paraId="4CEB71F7"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464</w:t>
            </w:r>
          </w:p>
        </w:tc>
        <w:tc>
          <w:tcPr>
            <w:tcW w:w="1080" w:type="dxa"/>
            <w:tcBorders>
              <w:top w:val="nil"/>
              <w:left w:val="nil"/>
              <w:bottom w:val="single" w:sz="4" w:space="0" w:color="auto"/>
              <w:right w:val="single" w:sz="4" w:space="0" w:color="auto"/>
            </w:tcBorders>
            <w:shd w:val="clear" w:color="auto" w:fill="auto"/>
            <w:noWrap/>
            <w:vAlign w:val="bottom"/>
            <w:hideMark/>
          </w:tcPr>
          <w:p w14:paraId="7F7FE013"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79</w:t>
            </w:r>
          </w:p>
        </w:tc>
        <w:tc>
          <w:tcPr>
            <w:tcW w:w="1260" w:type="dxa"/>
            <w:tcBorders>
              <w:top w:val="nil"/>
              <w:left w:val="single" w:sz="8" w:space="0" w:color="auto"/>
              <w:bottom w:val="single" w:sz="4" w:space="0" w:color="auto"/>
              <w:right w:val="single" w:sz="4" w:space="0" w:color="auto"/>
            </w:tcBorders>
            <w:shd w:val="clear" w:color="000000" w:fill="92D050"/>
            <w:noWrap/>
            <w:vAlign w:val="bottom"/>
            <w:hideMark/>
          </w:tcPr>
          <w:p w14:paraId="67C446D0"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LM</w:t>
            </w:r>
          </w:p>
        </w:tc>
        <w:tc>
          <w:tcPr>
            <w:tcW w:w="1080" w:type="dxa"/>
            <w:tcBorders>
              <w:top w:val="nil"/>
              <w:left w:val="nil"/>
              <w:bottom w:val="single" w:sz="4" w:space="0" w:color="auto"/>
              <w:right w:val="single" w:sz="4" w:space="0" w:color="auto"/>
            </w:tcBorders>
            <w:shd w:val="clear" w:color="auto" w:fill="auto"/>
            <w:noWrap/>
            <w:vAlign w:val="bottom"/>
            <w:hideMark/>
          </w:tcPr>
          <w:p w14:paraId="6FDD9AF6"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16</w:t>
            </w:r>
          </w:p>
        </w:tc>
        <w:tc>
          <w:tcPr>
            <w:tcW w:w="990" w:type="dxa"/>
            <w:tcBorders>
              <w:top w:val="nil"/>
              <w:left w:val="nil"/>
              <w:bottom w:val="single" w:sz="4" w:space="0" w:color="auto"/>
              <w:right w:val="single" w:sz="4" w:space="0" w:color="auto"/>
            </w:tcBorders>
            <w:shd w:val="clear" w:color="000000" w:fill="FF0000"/>
            <w:noWrap/>
            <w:vAlign w:val="bottom"/>
            <w:hideMark/>
          </w:tcPr>
          <w:p w14:paraId="238EC3CF"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0</w:t>
            </w:r>
          </w:p>
        </w:tc>
        <w:tc>
          <w:tcPr>
            <w:tcW w:w="1080" w:type="dxa"/>
            <w:tcBorders>
              <w:top w:val="nil"/>
              <w:left w:val="nil"/>
              <w:bottom w:val="single" w:sz="4" w:space="0" w:color="auto"/>
              <w:right w:val="single" w:sz="4" w:space="0" w:color="auto"/>
            </w:tcBorders>
            <w:shd w:val="clear" w:color="000000" w:fill="FFFF00"/>
            <w:noWrap/>
            <w:vAlign w:val="bottom"/>
            <w:hideMark/>
          </w:tcPr>
          <w:p w14:paraId="36FA9A2A"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2</w:t>
            </w:r>
          </w:p>
        </w:tc>
        <w:tc>
          <w:tcPr>
            <w:tcW w:w="1160" w:type="dxa"/>
            <w:tcBorders>
              <w:top w:val="nil"/>
              <w:left w:val="nil"/>
              <w:bottom w:val="single" w:sz="4" w:space="0" w:color="auto"/>
              <w:right w:val="single" w:sz="8" w:space="0" w:color="auto"/>
            </w:tcBorders>
            <w:shd w:val="clear" w:color="000000" w:fill="92D050"/>
            <w:noWrap/>
            <w:vAlign w:val="bottom"/>
            <w:hideMark/>
          </w:tcPr>
          <w:p w14:paraId="46F91F6A"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14</w:t>
            </w:r>
          </w:p>
        </w:tc>
      </w:tr>
      <w:tr w:rsidR="00DC0A20" w14:paraId="4C3E4168" w14:textId="77777777" w:rsidTr="00DC0A20">
        <w:trPr>
          <w:trHeight w:val="675"/>
        </w:trPr>
        <w:tc>
          <w:tcPr>
            <w:tcW w:w="2030" w:type="dxa"/>
            <w:tcBorders>
              <w:top w:val="nil"/>
              <w:left w:val="single" w:sz="8" w:space="0" w:color="auto"/>
              <w:bottom w:val="single" w:sz="4" w:space="0" w:color="auto"/>
              <w:right w:val="single" w:sz="4" w:space="0" w:color="auto"/>
            </w:tcBorders>
            <w:shd w:val="clear" w:color="auto" w:fill="auto"/>
            <w:vAlign w:val="bottom"/>
            <w:hideMark/>
          </w:tcPr>
          <w:p w14:paraId="7EA40E5D" w14:textId="77777777" w:rsidR="00DC0A20" w:rsidRDefault="00DC0A20" w:rsidP="00DC0A20">
            <w:pPr>
              <w:rPr>
                <w:rFonts w:ascii="Cambria" w:hAnsi="Cambria" w:cs="Calibri"/>
                <w:color w:val="000000"/>
                <w:sz w:val="22"/>
                <w:szCs w:val="22"/>
              </w:rPr>
            </w:pPr>
            <w:r>
              <w:rPr>
                <w:rFonts w:ascii="Cambria" w:hAnsi="Cambria" w:cs="Calibri"/>
                <w:color w:val="000000"/>
                <w:sz w:val="22"/>
                <w:szCs w:val="22"/>
              </w:rPr>
              <w:t>Tax Return and Conflict of Interest</w:t>
            </w:r>
          </w:p>
        </w:tc>
        <w:tc>
          <w:tcPr>
            <w:tcW w:w="1210" w:type="dxa"/>
            <w:tcBorders>
              <w:top w:val="nil"/>
              <w:left w:val="nil"/>
              <w:bottom w:val="single" w:sz="4" w:space="0" w:color="auto"/>
              <w:right w:val="single" w:sz="4" w:space="0" w:color="auto"/>
            </w:tcBorders>
            <w:shd w:val="clear" w:color="auto" w:fill="auto"/>
            <w:noWrap/>
            <w:vAlign w:val="bottom"/>
            <w:hideMark/>
          </w:tcPr>
          <w:p w14:paraId="76C7FD98"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377</w:t>
            </w:r>
          </w:p>
        </w:tc>
        <w:tc>
          <w:tcPr>
            <w:tcW w:w="1080" w:type="dxa"/>
            <w:tcBorders>
              <w:top w:val="nil"/>
              <w:left w:val="nil"/>
              <w:bottom w:val="single" w:sz="4" w:space="0" w:color="auto"/>
              <w:right w:val="single" w:sz="4" w:space="0" w:color="auto"/>
            </w:tcBorders>
            <w:shd w:val="clear" w:color="auto" w:fill="auto"/>
            <w:noWrap/>
            <w:vAlign w:val="bottom"/>
            <w:hideMark/>
          </w:tcPr>
          <w:p w14:paraId="71589B24"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68</w:t>
            </w:r>
          </w:p>
        </w:tc>
        <w:tc>
          <w:tcPr>
            <w:tcW w:w="1260" w:type="dxa"/>
            <w:tcBorders>
              <w:top w:val="nil"/>
              <w:left w:val="single" w:sz="8" w:space="0" w:color="auto"/>
              <w:bottom w:val="single" w:sz="4" w:space="0" w:color="auto"/>
              <w:right w:val="single" w:sz="4" w:space="0" w:color="auto"/>
            </w:tcBorders>
            <w:shd w:val="clear" w:color="000000" w:fill="92D050"/>
            <w:noWrap/>
            <w:vAlign w:val="bottom"/>
            <w:hideMark/>
          </w:tcPr>
          <w:p w14:paraId="6F4495B5"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LM</w:t>
            </w:r>
          </w:p>
        </w:tc>
        <w:tc>
          <w:tcPr>
            <w:tcW w:w="1080" w:type="dxa"/>
            <w:tcBorders>
              <w:top w:val="nil"/>
              <w:left w:val="nil"/>
              <w:bottom w:val="single" w:sz="4" w:space="0" w:color="auto"/>
              <w:right w:val="single" w:sz="4" w:space="0" w:color="auto"/>
            </w:tcBorders>
            <w:shd w:val="clear" w:color="auto" w:fill="auto"/>
            <w:noWrap/>
            <w:vAlign w:val="bottom"/>
            <w:hideMark/>
          </w:tcPr>
          <w:p w14:paraId="353034AB"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13</w:t>
            </w:r>
          </w:p>
        </w:tc>
        <w:tc>
          <w:tcPr>
            <w:tcW w:w="990" w:type="dxa"/>
            <w:tcBorders>
              <w:top w:val="nil"/>
              <w:left w:val="nil"/>
              <w:bottom w:val="single" w:sz="4" w:space="0" w:color="auto"/>
              <w:right w:val="single" w:sz="4" w:space="0" w:color="auto"/>
            </w:tcBorders>
            <w:shd w:val="clear" w:color="000000" w:fill="FF0000"/>
            <w:noWrap/>
            <w:vAlign w:val="bottom"/>
            <w:hideMark/>
          </w:tcPr>
          <w:p w14:paraId="15615DF7"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0</w:t>
            </w:r>
          </w:p>
        </w:tc>
        <w:tc>
          <w:tcPr>
            <w:tcW w:w="1080" w:type="dxa"/>
            <w:tcBorders>
              <w:top w:val="nil"/>
              <w:left w:val="nil"/>
              <w:bottom w:val="single" w:sz="4" w:space="0" w:color="auto"/>
              <w:right w:val="single" w:sz="4" w:space="0" w:color="auto"/>
            </w:tcBorders>
            <w:shd w:val="clear" w:color="000000" w:fill="FFFF00"/>
            <w:noWrap/>
            <w:vAlign w:val="bottom"/>
            <w:hideMark/>
          </w:tcPr>
          <w:p w14:paraId="535E780A"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3</w:t>
            </w:r>
          </w:p>
        </w:tc>
        <w:tc>
          <w:tcPr>
            <w:tcW w:w="1160" w:type="dxa"/>
            <w:tcBorders>
              <w:top w:val="nil"/>
              <w:left w:val="nil"/>
              <w:bottom w:val="single" w:sz="4" w:space="0" w:color="auto"/>
              <w:right w:val="single" w:sz="8" w:space="0" w:color="auto"/>
            </w:tcBorders>
            <w:shd w:val="clear" w:color="000000" w:fill="92D050"/>
            <w:noWrap/>
            <w:vAlign w:val="bottom"/>
            <w:hideMark/>
          </w:tcPr>
          <w:p w14:paraId="6A2FF105"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10</w:t>
            </w:r>
          </w:p>
        </w:tc>
      </w:tr>
      <w:tr w:rsidR="00DC0A20" w14:paraId="16D3C73B" w14:textId="77777777" w:rsidTr="00DC0A20">
        <w:trPr>
          <w:trHeight w:val="1116"/>
        </w:trPr>
        <w:tc>
          <w:tcPr>
            <w:tcW w:w="2030" w:type="dxa"/>
            <w:tcBorders>
              <w:top w:val="nil"/>
              <w:left w:val="single" w:sz="8" w:space="0" w:color="auto"/>
              <w:bottom w:val="single" w:sz="8" w:space="0" w:color="auto"/>
              <w:right w:val="single" w:sz="4" w:space="0" w:color="auto"/>
            </w:tcBorders>
            <w:shd w:val="clear" w:color="auto" w:fill="auto"/>
            <w:vAlign w:val="bottom"/>
            <w:hideMark/>
          </w:tcPr>
          <w:p w14:paraId="0B5FFE8A" w14:textId="42EE5264" w:rsidR="00DC0A20" w:rsidRDefault="00DC0A20" w:rsidP="00DC0A20">
            <w:pPr>
              <w:rPr>
                <w:rFonts w:ascii="Cambria" w:hAnsi="Cambria" w:cs="Calibri"/>
                <w:color w:val="000000"/>
                <w:sz w:val="22"/>
                <w:szCs w:val="22"/>
              </w:rPr>
            </w:pPr>
            <w:r>
              <w:rPr>
                <w:rFonts w:ascii="Cambria" w:hAnsi="Cambria" w:cs="Calibri"/>
                <w:color w:val="000000"/>
                <w:sz w:val="22"/>
                <w:szCs w:val="22"/>
              </w:rPr>
              <w:t>Financial Reporting, Obligations, Provider Payments, Support Services, ITA'S</w:t>
            </w:r>
          </w:p>
        </w:tc>
        <w:tc>
          <w:tcPr>
            <w:tcW w:w="1210" w:type="dxa"/>
            <w:tcBorders>
              <w:top w:val="nil"/>
              <w:left w:val="nil"/>
              <w:bottom w:val="single" w:sz="8" w:space="0" w:color="auto"/>
              <w:right w:val="single" w:sz="4" w:space="0" w:color="auto"/>
            </w:tcBorders>
            <w:shd w:val="clear" w:color="auto" w:fill="auto"/>
            <w:noWrap/>
            <w:vAlign w:val="bottom"/>
            <w:hideMark/>
          </w:tcPr>
          <w:p w14:paraId="7CB499BE"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319</w:t>
            </w:r>
          </w:p>
        </w:tc>
        <w:tc>
          <w:tcPr>
            <w:tcW w:w="1080" w:type="dxa"/>
            <w:tcBorders>
              <w:top w:val="nil"/>
              <w:left w:val="nil"/>
              <w:bottom w:val="single" w:sz="8" w:space="0" w:color="auto"/>
              <w:right w:val="single" w:sz="4" w:space="0" w:color="auto"/>
            </w:tcBorders>
            <w:shd w:val="clear" w:color="auto" w:fill="auto"/>
            <w:noWrap/>
            <w:vAlign w:val="bottom"/>
            <w:hideMark/>
          </w:tcPr>
          <w:p w14:paraId="377B1545" w14:textId="77777777" w:rsidR="00DC0A20" w:rsidRPr="00DC0A20" w:rsidRDefault="00DC0A20" w:rsidP="00DC0A20">
            <w:pPr>
              <w:jc w:val="center"/>
              <w:rPr>
                <w:rFonts w:ascii="Cambria" w:hAnsi="Cambria" w:cs="Calibri"/>
                <w:color w:val="000000"/>
                <w:sz w:val="28"/>
                <w:szCs w:val="28"/>
              </w:rPr>
            </w:pPr>
            <w:r w:rsidRPr="00DC0A20">
              <w:rPr>
                <w:rFonts w:ascii="Cambria" w:hAnsi="Cambria" w:cs="Calibri"/>
                <w:color w:val="000000"/>
                <w:sz w:val="28"/>
                <w:szCs w:val="28"/>
              </w:rPr>
              <w:t>94</w:t>
            </w:r>
          </w:p>
        </w:tc>
        <w:tc>
          <w:tcPr>
            <w:tcW w:w="1260" w:type="dxa"/>
            <w:tcBorders>
              <w:top w:val="nil"/>
              <w:left w:val="single" w:sz="8" w:space="0" w:color="auto"/>
              <w:bottom w:val="single" w:sz="8" w:space="0" w:color="auto"/>
              <w:right w:val="single" w:sz="4" w:space="0" w:color="auto"/>
            </w:tcBorders>
            <w:shd w:val="clear" w:color="000000" w:fill="92D050"/>
            <w:noWrap/>
            <w:vAlign w:val="bottom"/>
            <w:hideMark/>
          </w:tcPr>
          <w:p w14:paraId="07EBCCAA"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LM</w:t>
            </w:r>
          </w:p>
        </w:tc>
        <w:tc>
          <w:tcPr>
            <w:tcW w:w="1080" w:type="dxa"/>
            <w:tcBorders>
              <w:top w:val="nil"/>
              <w:left w:val="nil"/>
              <w:bottom w:val="single" w:sz="8" w:space="0" w:color="auto"/>
              <w:right w:val="single" w:sz="4" w:space="0" w:color="auto"/>
            </w:tcBorders>
            <w:shd w:val="clear" w:color="auto" w:fill="auto"/>
            <w:noWrap/>
            <w:vAlign w:val="bottom"/>
            <w:hideMark/>
          </w:tcPr>
          <w:p w14:paraId="7C174C01"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11</w:t>
            </w:r>
          </w:p>
        </w:tc>
        <w:tc>
          <w:tcPr>
            <w:tcW w:w="990" w:type="dxa"/>
            <w:tcBorders>
              <w:top w:val="nil"/>
              <w:left w:val="nil"/>
              <w:bottom w:val="single" w:sz="8" w:space="0" w:color="auto"/>
              <w:right w:val="single" w:sz="4" w:space="0" w:color="auto"/>
            </w:tcBorders>
            <w:shd w:val="clear" w:color="000000" w:fill="FF0000"/>
            <w:noWrap/>
            <w:vAlign w:val="bottom"/>
            <w:hideMark/>
          </w:tcPr>
          <w:p w14:paraId="24CBAFB0"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0</w:t>
            </w:r>
          </w:p>
        </w:tc>
        <w:tc>
          <w:tcPr>
            <w:tcW w:w="1080" w:type="dxa"/>
            <w:tcBorders>
              <w:top w:val="nil"/>
              <w:left w:val="nil"/>
              <w:bottom w:val="single" w:sz="8" w:space="0" w:color="auto"/>
              <w:right w:val="single" w:sz="4" w:space="0" w:color="auto"/>
            </w:tcBorders>
            <w:shd w:val="clear" w:color="000000" w:fill="FFFF00"/>
            <w:noWrap/>
            <w:vAlign w:val="bottom"/>
            <w:hideMark/>
          </w:tcPr>
          <w:p w14:paraId="351FA703"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8</w:t>
            </w:r>
          </w:p>
        </w:tc>
        <w:tc>
          <w:tcPr>
            <w:tcW w:w="1160" w:type="dxa"/>
            <w:tcBorders>
              <w:top w:val="nil"/>
              <w:left w:val="nil"/>
              <w:bottom w:val="single" w:sz="8" w:space="0" w:color="auto"/>
              <w:right w:val="single" w:sz="8" w:space="0" w:color="auto"/>
            </w:tcBorders>
            <w:shd w:val="clear" w:color="000000" w:fill="92D050"/>
            <w:noWrap/>
            <w:vAlign w:val="bottom"/>
            <w:hideMark/>
          </w:tcPr>
          <w:p w14:paraId="1A570126" w14:textId="77777777" w:rsidR="00DC0A20" w:rsidRPr="00DC0A20" w:rsidRDefault="00DC0A20" w:rsidP="00DC0A20">
            <w:pPr>
              <w:jc w:val="center"/>
              <w:rPr>
                <w:rFonts w:ascii="Cambria" w:hAnsi="Cambria" w:cs="Calibri"/>
                <w:b/>
                <w:bCs/>
                <w:color w:val="000000"/>
                <w:sz w:val="28"/>
                <w:szCs w:val="28"/>
              </w:rPr>
            </w:pPr>
            <w:r w:rsidRPr="00DC0A20">
              <w:rPr>
                <w:rFonts w:ascii="Cambria" w:hAnsi="Cambria" w:cs="Calibri"/>
                <w:b/>
                <w:bCs/>
                <w:color w:val="000000"/>
                <w:sz w:val="28"/>
                <w:szCs w:val="28"/>
              </w:rPr>
              <w:t>3</w:t>
            </w:r>
          </w:p>
        </w:tc>
      </w:tr>
    </w:tbl>
    <w:p w14:paraId="46126506" w14:textId="4ABA7716" w:rsidR="00DC0A20" w:rsidRDefault="00DC0A20" w:rsidP="00693F1F">
      <w:pPr>
        <w:pStyle w:val="NoSpacing"/>
        <w:rPr>
          <w:rFonts w:ascii="Bahnschrift SemiLight" w:hAnsi="Bahnschrift SemiLight"/>
          <w:b/>
          <w:bCs/>
          <w:color w:val="002060"/>
          <w:sz w:val="32"/>
          <w:szCs w:val="32"/>
        </w:rPr>
      </w:pPr>
    </w:p>
    <w:p w14:paraId="6E777403" w14:textId="77777777" w:rsidR="00DC0A20" w:rsidRPr="000C4785" w:rsidRDefault="00DC0A20" w:rsidP="00693F1F">
      <w:pPr>
        <w:pStyle w:val="NoSpacing"/>
        <w:rPr>
          <w:rFonts w:ascii="Bahnschrift SemiLight" w:hAnsi="Bahnschrift SemiLight"/>
          <w:b/>
          <w:bCs/>
          <w:color w:val="002060"/>
          <w:sz w:val="32"/>
          <w:szCs w:val="32"/>
        </w:rPr>
      </w:pPr>
    </w:p>
    <w:sectPr w:rsidR="00DC0A20" w:rsidRPr="000C47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7BA8" w14:textId="77777777" w:rsidR="00341735" w:rsidRDefault="00341735" w:rsidP="00D279D3">
      <w:r>
        <w:separator/>
      </w:r>
    </w:p>
  </w:endnote>
  <w:endnote w:type="continuationSeparator" w:id="0">
    <w:p w14:paraId="6A2F7D1C" w14:textId="77777777" w:rsidR="00341735" w:rsidRDefault="00341735" w:rsidP="00D2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ritannic Bold">
    <w:altName w:val="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174680"/>
      <w:docPartObj>
        <w:docPartGallery w:val="Page Numbers (Bottom of Page)"/>
        <w:docPartUnique/>
      </w:docPartObj>
    </w:sdtPr>
    <w:sdtEndPr>
      <w:rPr>
        <w:noProof/>
      </w:rPr>
    </w:sdtEndPr>
    <w:sdtContent>
      <w:p w14:paraId="488CFA79" w14:textId="77777777" w:rsidR="006B4CAC" w:rsidRDefault="006B4CA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371D5A9" w14:textId="77777777" w:rsidR="006B4CAC" w:rsidRDefault="006B4CAC">
    <w:pPr>
      <w:pStyle w:val="Footer"/>
    </w:pPr>
  </w:p>
  <w:p w14:paraId="211EAF34" w14:textId="77777777" w:rsidR="006B4CAC" w:rsidRDefault="006B4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BFB1" w14:textId="77777777" w:rsidR="00341735" w:rsidRDefault="00341735" w:rsidP="00D279D3">
      <w:r>
        <w:separator/>
      </w:r>
    </w:p>
  </w:footnote>
  <w:footnote w:type="continuationSeparator" w:id="0">
    <w:p w14:paraId="45539BE3" w14:textId="77777777" w:rsidR="00341735" w:rsidRDefault="00341735" w:rsidP="00D27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EC8"/>
    <w:multiLevelType w:val="hybridMultilevel"/>
    <w:tmpl w:val="B4D86800"/>
    <w:lvl w:ilvl="0" w:tplc="25082F9C">
      <w:start w:val="1"/>
      <w:numFmt w:val="upperLetter"/>
      <w:lvlText w:val="%1."/>
      <w:lvlJc w:val="left"/>
      <w:pPr>
        <w:ind w:left="720" w:hanging="360"/>
      </w:pPr>
      <w:rPr>
        <w:rFonts w:cstheme="minorBidi" w:hint="default"/>
        <w:b w:val="0"/>
        <w:bCs/>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A6D8C"/>
    <w:multiLevelType w:val="hybridMultilevel"/>
    <w:tmpl w:val="8A44C0CC"/>
    <w:lvl w:ilvl="0" w:tplc="E2BE586A">
      <w:start w:val="1"/>
      <w:numFmt w:val="decimal"/>
      <w:lvlText w:val="%1."/>
      <w:lvlJc w:val="left"/>
      <w:pPr>
        <w:ind w:left="360" w:hanging="360"/>
      </w:pPr>
      <w:rPr>
        <w:rFonts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06CF1"/>
    <w:multiLevelType w:val="hybridMultilevel"/>
    <w:tmpl w:val="B4D86800"/>
    <w:lvl w:ilvl="0" w:tplc="FFFFFFFF">
      <w:start w:val="1"/>
      <w:numFmt w:val="upperLetter"/>
      <w:lvlText w:val="%1."/>
      <w:lvlJc w:val="left"/>
      <w:pPr>
        <w:ind w:left="720" w:hanging="360"/>
      </w:pPr>
      <w:rPr>
        <w:rFonts w:cstheme="minorBidi" w:hint="default"/>
        <w:b w:val="0"/>
        <w:bCs/>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355ED"/>
    <w:multiLevelType w:val="hybridMultilevel"/>
    <w:tmpl w:val="4F04D3E6"/>
    <w:lvl w:ilvl="0" w:tplc="83CA80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23778"/>
    <w:multiLevelType w:val="hybridMultilevel"/>
    <w:tmpl w:val="48346D9E"/>
    <w:lvl w:ilvl="0" w:tplc="C01689A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95B79"/>
    <w:multiLevelType w:val="hybridMultilevel"/>
    <w:tmpl w:val="81A883C6"/>
    <w:lvl w:ilvl="0" w:tplc="CB4CDCA2">
      <w:start w:val="1"/>
      <w:numFmt w:val="bullet"/>
      <w:lvlText w:val=""/>
      <w:lvlJc w:val="left"/>
      <w:pPr>
        <w:ind w:left="1080" w:hanging="360"/>
      </w:pPr>
      <w:rPr>
        <w:rFonts w:ascii="Symbol" w:hAnsi="Symbol" w:hint="default"/>
        <w:sz w:val="24"/>
        <w:szCs w:val="24"/>
      </w:rPr>
    </w:lvl>
    <w:lvl w:ilvl="1" w:tplc="11705894">
      <w:start w:val="1"/>
      <w:numFmt w:val="bullet"/>
      <w:lvlText w:val=""/>
      <w:lvlJc w:val="left"/>
      <w:pPr>
        <w:ind w:left="1800" w:hanging="360"/>
      </w:pPr>
      <w:rPr>
        <w:rFonts w:ascii="Symbol" w:hAnsi="Symbol"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AA7294"/>
    <w:multiLevelType w:val="hybridMultilevel"/>
    <w:tmpl w:val="DDD26C6E"/>
    <w:lvl w:ilvl="0" w:tplc="91BAF84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97CFE"/>
    <w:multiLevelType w:val="hybridMultilevel"/>
    <w:tmpl w:val="77DEEA70"/>
    <w:lvl w:ilvl="0" w:tplc="528400D2">
      <w:start w:val="1"/>
      <w:numFmt w:val="decimal"/>
      <w:lvlText w:val="%1."/>
      <w:lvlJc w:val="left"/>
      <w:pPr>
        <w:ind w:left="360" w:hanging="360"/>
      </w:pPr>
      <w:rPr>
        <w:rFonts w:asciiTheme="minorHAnsi" w:hAnsiTheme="minorHAnsi" w:hint="default"/>
        <w:i w:val="0"/>
        <w:i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E3B52"/>
    <w:multiLevelType w:val="hybridMultilevel"/>
    <w:tmpl w:val="ECAE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168C2"/>
    <w:multiLevelType w:val="hybridMultilevel"/>
    <w:tmpl w:val="9A46D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B77AE"/>
    <w:multiLevelType w:val="hybridMultilevel"/>
    <w:tmpl w:val="5CF6D040"/>
    <w:lvl w:ilvl="0" w:tplc="91BAF84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3749BB"/>
    <w:multiLevelType w:val="hybridMultilevel"/>
    <w:tmpl w:val="BF44152E"/>
    <w:lvl w:ilvl="0" w:tplc="83CA80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81D43"/>
    <w:multiLevelType w:val="hybridMultilevel"/>
    <w:tmpl w:val="930CBBE2"/>
    <w:lvl w:ilvl="0" w:tplc="83CA807C">
      <w:start w:val="1"/>
      <w:numFmt w:val="bullet"/>
      <w:lvlText w:val=""/>
      <w:lvlJc w:val="left"/>
      <w:pPr>
        <w:ind w:left="360" w:hanging="360"/>
      </w:pPr>
      <w:rPr>
        <w:rFonts w:ascii="Symbol" w:hAnsi="Symbol" w:hint="default"/>
        <w:b w:val="0"/>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C731E0"/>
    <w:multiLevelType w:val="hybridMultilevel"/>
    <w:tmpl w:val="44B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3639D"/>
    <w:multiLevelType w:val="hybridMultilevel"/>
    <w:tmpl w:val="1DE42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16106"/>
    <w:multiLevelType w:val="hybridMultilevel"/>
    <w:tmpl w:val="C28C0584"/>
    <w:lvl w:ilvl="0" w:tplc="09B0FA4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3C4600"/>
    <w:multiLevelType w:val="hybridMultilevel"/>
    <w:tmpl w:val="4D621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9973C0"/>
    <w:multiLevelType w:val="hybridMultilevel"/>
    <w:tmpl w:val="058E5902"/>
    <w:lvl w:ilvl="0" w:tplc="2FAA03D8">
      <w:start w:val="1"/>
      <w:numFmt w:val="decimal"/>
      <w:lvlText w:val="%1."/>
      <w:lvlJc w:val="left"/>
      <w:pPr>
        <w:ind w:left="360" w:hanging="360"/>
      </w:pPr>
      <w:rPr>
        <w:rFonts w:asciiTheme="minorHAnsi" w:hAnsiTheme="minorHAnsi" w:cstheme="minorHAnsi" w:hint="default"/>
        <w:b w:val="0"/>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075084"/>
    <w:multiLevelType w:val="hybridMultilevel"/>
    <w:tmpl w:val="5E8ED336"/>
    <w:lvl w:ilvl="0" w:tplc="91BAF84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02A76"/>
    <w:multiLevelType w:val="hybridMultilevel"/>
    <w:tmpl w:val="BAF870C0"/>
    <w:lvl w:ilvl="0" w:tplc="EA729E92">
      <w:start w:val="1"/>
      <w:numFmt w:val="decimal"/>
      <w:lvlText w:val="%1."/>
      <w:lvlJc w:val="left"/>
      <w:pPr>
        <w:ind w:left="360" w:hanging="360"/>
      </w:pPr>
      <w:rPr>
        <w:rFonts w:hint="default"/>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AC589D"/>
    <w:multiLevelType w:val="hybridMultilevel"/>
    <w:tmpl w:val="46CA4A32"/>
    <w:lvl w:ilvl="0" w:tplc="F31866A4">
      <w:start w:val="1"/>
      <w:numFmt w:val="decimal"/>
      <w:lvlText w:val="%1."/>
      <w:lvlJc w:val="left"/>
      <w:pPr>
        <w:ind w:left="360" w:hanging="360"/>
      </w:pPr>
      <w:rPr>
        <w:rFonts w:hint="default"/>
        <w:b w:val="0"/>
        <w:bCs/>
        <w:i w:val="0"/>
        <w:iCs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78612A"/>
    <w:multiLevelType w:val="hybridMultilevel"/>
    <w:tmpl w:val="2E002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111AF"/>
    <w:multiLevelType w:val="hybridMultilevel"/>
    <w:tmpl w:val="A0E60114"/>
    <w:lvl w:ilvl="0" w:tplc="CE36719E">
      <w:start w:val="1"/>
      <w:numFmt w:val="lowerLetter"/>
      <w:lvlText w:val="%1)"/>
      <w:lvlJc w:val="left"/>
      <w:pPr>
        <w:ind w:left="720" w:hanging="360"/>
      </w:pPr>
      <w:rPr>
        <w:rFonts w:asciiTheme="minorHAnsi" w:hAnsiTheme="minorHAnsi"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57E86"/>
    <w:multiLevelType w:val="hybridMultilevel"/>
    <w:tmpl w:val="7A4AD15A"/>
    <w:lvl w:ilvl="0" w:tplc="83CA807C">
      <w:start w:val="1"/>
      <w:numFmt w:val="bullet"/>
      <w:lvlText w:val=""/>
      <w:lvlJc w:val="left"/>
      <w:pPr>
        <w:ind w:left="720" w:hanging="360"/>
      </w:pPr>
      <w:rPr>
        <w:rFonts w:ascii="Symbol" w:hAnsi="Symbol" w:hint="default"/>
        <w:b w:val="0"/>
        <w:bCs/>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526C6"/>
    <w:multiLevelType w:val="hybridMultilevel"/>
    <w:tmpl w:val="E7C04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82B04"/>
    <w:multiLevelType w:val="hybridMultilevel"/>
    <w:tmpl w:val="D6D42772"/>
    <w:lvl w:ilvl="0" w:tplc="83CA80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21CB7"/>
    <w:multiLevelType w:val="hybridMultilevel"/>
    <w:tmpl w:val="AA5C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26600"/>
    <w:multiLevelType w:val="hybridMultilevel"/>
    <w:tmpl w:val="4BCC4D18"/>
    <w:lvl w:ilvl="0" w:tplc="B1524D6A">
      <w:start w:val="1"/>
      <w:numFmt w:val="decimal"/>
      <w:lvlText w:val="%1."/>
      <w:lvlJc w:val="left"/>
      <w:pPr>
        <w:ind w:left="360" w:hanging="360"/>
      </w:pPr>
      <w:rPr>
        <w:rFonts w:asciiTheme="minorHAnsi" w:hAnsiTheme="minorHAnsi" w:cstheme="minorHAnsi" w:hint="default"/>
        <w:b w:val="0"/>
        <w:i w:val="0"/>
        <w:color w:val="auto"/>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E2C07"/>
    <w:multiLevelType w:val="hybridMultilevel"/>
    <w:tmpl w:val="22965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742446"/>
    <w:multiLevelType w:val="hybridMultilevel"/>
    <w:tmpl w:val="A9EE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C21F6"/>
    <w:multiLevelType w:val="hybridMultilevel"/>
    <w:tmpl w:val="11181D4E"/>
    <w:lvl w:ilvl="0" w:tplc="C01689A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F245EA"/>
    <w:multiLevelType w:val="hybridMultilevel"/>
    <w:tmpl w:val="7638C55C"/>
    <w:lvl w:ilvl="0" w:tplc="91BAF84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13036"/>
    <w:multiLevelType w:val="hybridMultilevel"/>
    <w:tmpl w:val="7618F010"/>
    <w:lvl w:ilvl="0" w:tplc="AF7CDCE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3" w15:restartNumberingAfterBreak="0">
    <w:nsid w:val="505B0A73"/>
    <w:multiLevelType w:val="hybridMultilevel"/>
    <w:tmpl w:val="04E07D20"/>
    <w:lvl w:ilvl="0" w:tplc="AF7CDCE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1B842A8"/>
    <w:multiLevelType w:val="hybridMultilevel"/>
    <w:tmpl w:val="BDF4C876"/>
    <w:lvl w:ilvl="0" w:tplc="C01689A4">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1BA0792"/>
    <w:multiLevelType w:val="hybridMultilevel"/>
    <w:tmpl w:val="429CEE9A"/>
    <w:lvl w:ilvl="0" w:tplc="65364992">
      <w:start w:val="1"/>
      <w:numFmt w:val="decimal"/>
      <w:lvlText w:val="%1."/>
      <w:lvlJc w:val="left"/>
      <w:pPr>
        <w:ind w:left="720" w:hanging="360"/>
      </w:pPr>
      <w:rPr>
        <w:rFonts w:ascii="Bahnschrift SemiLight" w:hAnsi="Bahnschrift SemiLight"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64230"/>
    <w:multiLevelType w:val="hybridMultilevel"/>
    <w:tmpl w:val="BF26A354"/>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AF272A"/>
    <w:multiLevelType w:val="hybridMultilevel"/>
    <w:tmpl w:val="542C8F32"/>
    <w:lvl w:ilvl="0" w:tplc="83CA807C">
      <w:start w:val="1"/>
      <w:numFmt w:val="bullet"/>
      <w:lvlText w:val=""/>
      <w:lvlJc w:val="left"/>
      <w:pPr>
        <w:ind w:left="720" w:hanging="360"/>
      </w:pPr>
      <w:rPr>
        <w:rFonts w:ascii="Symbol" w:hAnsi="Symbol"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586BB3"/>
    <w:multiLevelType w:val="hybridMultilevel"/>
    <w:tmpl w:val="01DA5C36"/>
    <w:lvl w:ilvl="0" w:tplc="C01689A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617ABE"/>
    <w:multiLevelType w:val="hybridMultilevel"/>
    <w:tmpl w:val="B4D86800"/>
    <w:lvl w:ilvl="0" w:tplc="FFFFFFFF">
      <w:start w:val="1"/>
      <w:numFmt w:val="upperLetter"/>
      <w:lvlText w:val="%1."/>
      <w:lvlJc w:val="left"/>
      <w:pPr>
        <w:ind w:left="720" w:hanging="360"/>
      </w:pPr>
      <w:rPr>
        <w:rFonts w:cstheme="minorBidi" w:hint="default"/>
        <w:b w:val="0"/>
        <w:bCs/>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A74401"/>
    <w:multiLevelType w:val="hybridMultilevel"/>
    <w:tmpl w:val="28F4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9976FF"/>
    <w:multiLevelType w:val="hybridMultilevel"/>
    <w:tmpl w:val="B33CBC9C"/>
    <w:lvl w:ilvl="0" w:tplc="83CA80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6778D"/>
    <w:multiLevelType w:val="hybridMultilevel"/>
    <w:tmpl w:val="E3E8FB1A"/>
    <w:lvl w:ilvl="0" w:tplc="AEB0404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1B0FF2"/>
    <w:multiLevelType w:val="hybridMultilevel"/>
    <w:tmpl w:val="C26E91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0861E2"/>
    <w:multiLevelType w:val="hybridMultilevel"/>
    <w:tmpl w:val="7A848C9C"/>
    <w:lvl w:ilvl="0" w:tplc="AF7CDCEA">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C710CEA"/>
    <w:multiLevelType w:val="hybridMultilevel"/>
    <w:tmpl w:val="4D80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4B5932"/>
    <w:multiLevelType w:val="hybridMultilevel"/>
    <w:tmpl w:val="44CC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2B5848"/>
    <w:multiLevelType w:val="hybridMultilevel"/>
    <w:tmpl w:val="FE0CD584"/>
    <w:lvl w:ilvl="0" w:tplc="C01689A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37B26"/>
    <w:multiLevelType w:val="hybridMultilevel"/>
    <w:tmpl w:val="6688C8AE"/>
    <w:lvl w:ilvl="0" w:tplc="83CA80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774100"/>
    <w:multiLevelType w:val="hybridMultilevel"/>
    <w:tmpl w:val="CFE65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2416706">
    <w:abstractNumId w:val="17"/>
  </w:num>
  <w:num w:numId="2" w16cid:durableId="129173701">
    <w:abstractNumId w:val="27"/>
  </w:num>
  <w:num w:numId="3" w16cid:durableId="1010597859">
    <w:abstractNumId w:val="22"/>
  </w:num>
  <w:num w:numId="4" w16cid:durableId="1818766599">
    <w:abstractNumId w:val="24"/>
  </w:num>
  <w:num w:numId="5" w16cid:durableId="696006527">
    <w:abstractNumId w:val="9"/>
  </w:num>
  <w:num w:numId="6" w16cid:durableId="1563758837">
    <w:abstractNumId w:val="49"/>
  </w:num>
  <w:num w:numId="7" w16cid:durableId="1584408301">
    <w:abstractNumId w:val="1"/>
  </w:num>
  <w:num w:numId="8" w16cid:durableId="1326974128">
    <w:abstractNumId w:val="46"/>
  </w:num>
  <w:num w:numId="9" w16cid:durableId="1149009597">
    <w:abstractNumId w:val="16"/>
  </w:num>
  <w:num w:numId="10" w16cid:durableId="773522896">
    <w:abstractNumId w:val="28"/>
  </w:num>
  <w:num w:numId="11" w16cid:durableId="407311216">
    <w:abstractNumId w:val="14"/>
  </w:num>
  <w:num w:numId="12" w16cid:durableId="1777748198">
    <w:abstractNumId w:val="5"/>
  </w:num>
  <w:num w:numId="13" w16cid:durableId="1945913874">
    <w:abstractNumId w:val="35"/>
  </w:num>
  <w:num w:numId="14" w16cid:durableId="545869074">
    <w:abstractNumId w:val="42"/>
  </w:num>
  <w:num w:numId="15" w16cid:durableId="2024475585">
    <w:abstractNumId w:val="40"/>
  </w:num>
  <w:num w:numId="16" w16cid:durableId="1705013221">
    <w:abstractNumId w:val="8"/>
  </w:num>
  <w:num w:numId="17" w16cid:durableId="837578198">
    <w:abstractNumId w:val="13"/>
  </w:num>
  <w:num w:numId="18" w16cid:durableId="220408224">
    <w:abstractNumId w:val="29"/>
  </w:num>
  <w:num w:numId="19" w16cid:durableId="891890196">
    <w:abstractNumId w:val="19"/>
  </w:num>
  <w:num w:numId="20" w16cid:durableId="1984500790">
    <w:abstractNumId w:val="43"/>
  </w:num>
  <w:num w:numId="21" w16cid:durableId="31539541">
    <w:abstractNumId w:val="31"/>
  </w:num>
  <w:num w:numId="22" w16cid:durableId="2007392730">
    <w:abstractNumId w:val="7"/>
  </w:num>
  <w:num w:numId="23" w16cid:durableId="1874808439">
    <w:abstractNumId w:val="10"/>
  </w:num>
  <w:num w:numId="24" w16cid:durableId="1212108408">
    <w:abstractNumId w:val="6"/>
  </w:num>
  <w:num w:numId="25" w16cid:durableId="1591425383">
    <w:abstractNumId w:val="18"/>
  </w:num>
  <w:num w:numId="26" w16cid:durableId="1023701810">
    <w:abstractNumId w:val="44"/>
  </w:num>
  <w:num w:numId="27" w16cid:durableId="1557082572">
    <w:abstractNumId w:val="21"/>
  </w:num>
  <w:num w:numId="28" w16cid:durableId="87164346">
    <w:abstractNumId w:val="36"/>
  </w:num>
  <w:num w:numId="29" w16cid:durableId="2140147177">
    <w:abstractNumId w:val="15"/>
  </w:num>
  <w:num w:numId="30" w16cid:durableId="1962950448">
    <w:abstractNumId w:val="32"/>
  </w:num>
  <w:num w:numId="31" w16cid:durableId="454523363">
    <w:abstractNumId w:val="33"/>
  </w:num>
  <w:num w:numId="32" w16cid:durableId="1913198181">
    <w:abstractNumId w:val="30"/>
  </w:num>
  <w:num w:numId="33" w16cid:durableId="1612279918">
    <w:abstractNumId w:val="47"/>
  </w:num>
  <w:num w:numId="34" w16cid:durableId="2028755296">
    <w:abstractNumId w:val="34"/>
  </w:num>
  <w:num w:numId="35" w16cid:durableId="1314868135">
    <w:abstractNumId w:val="38"/>
  </w:num>
  <w:num w:numId="36" w16cid:durableId="751974033">
    <w:abstractNumId w:val="4"/>
  </w:num>
  <w:num w:numId="37" w16cid:durableId="717583224">
    <w:abstractNumId w:val="25"/>
  </w:num>
  <w:num w:numId="38" w16cid:durableId="1154099797">
    <w:abstractNumId w:val="20"/>
  </w:num>
  <w:num w:numId="39" w16cid:durableId="1908149984">
    <w:abstractNumId w:val="12"/>
  </w:num>
  <w:num w:numId="40" w16cid:durableId="381563066">
    <w:abstractNumId w:val="41"/>
  </w:num>
  <w:num w:numId="41" w16cid:durableId="345599146">
    <w:abstractNumId w:val="11"/>
  </w:num>
  <w:num w:numId="42" w16cid:durableId="824974583">
    <w:abstractNumId w:val="3"/>
  </w:num>
  <w:num w:numId="43" w16cid:durableId="1387024036">
    <w:abstractNumId w:val="37"/>
  </w:num>
  <w:num w:numId="44" w16cid:durableId="1752891955">
    <w:abstractNumId w:val="48"/>
  </w:num>
  <w:num w:numId="45" w16cid:durableId="1083066797">
    <w:abstractNumId w:val="23"/>
  </w:num>
  <w:num w:numId="46" w16cid:durableId="1568762668">
    <w:abstractNumId w:val="0"/>
  </w:num>
  <w:num w:numId="47" w16cid:durableId="2017683420">
    <w:abstractNumId w:val="39"/>
  </w:num>
  <w:num w:numId="48" w16cid:durableId="348412552">
    <w:abstractNumId w:val="2"/>
  </w:num>
  <w:num w:numId="49" w16cid:durableId="1618415981">
    <w:abstractNumId w:val="45"/>
  </w:num>
  <w:num w:numId="50" w16cid:durableId="185074908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DF"/>
    <w:rsid w:val="000001E8"/>
    <w:rsid w:val="0000419B"/>
    <w:rsid w:val="00004980"/>
    <w:rsid w:val="00006430"/>
    <w:rsid w:val="00006851"/>
    <w:rsid w:val="000068FB"/>
    <w:rsid w:val="0000744F"/>
    <w:rsid w:val="00007DEF"/>
    <w:rsid w:val="000101B0"/>
    <w:rsid w:val="00012BA5"/>
    <w:rsid w:val="00012F34"/>
    <w:rsid w:val="0001360E"/>
    <w:rsid w:val="00013BAE"/>
    <w:rsid w:val="00016FA4"/>
    <w:rsid w:val="00020936"/>
    <w:rsid w:val="00020C4A"/>
    <w:rsid w:val="00023433"/>
    <w:rsid w:val="00023870"/>
    <w:rsid w:val="000248AE"/>
    <w:rsid w:val="00024D5F"/>
    <w:rsid w:val="00026C97"/>
    <w:rsid w:val="000277E9"/>
    <w:rsid w:val="0003042A"/>
    <w:rsid w:val="000317C8"/>
    <w:rsid w:val="00033987"/>
    <w:rsid w:val="00034716"/>
    <w:rsid w:val="00034746"/>
    <w:rsid w:val="00035036"/>
    <w:rsid w:val="00036718"/>
    <w:rsid w:val="00037F06"/>
    <w:rsid w:val="00040507"/>
    <w:rsid w:val="0004113F"/>
    <w:rsid w:val="000419C2"/>
    <w:rsid w:val="0004201A"/>
    <w:rsid w:val="00044CE7"/>
    <w:rsid w:val="00045DDE"/>
    <w:rsid w:val="000469EE"/>
    <w:rsid w:val="00046F31"/>
    <w:rsid w:val="00047758"/>
    <w:rsid w:val="00053454"/>
    <w:rsid w:val="00053E0C"/>
    <w:rsid w:val="00054F9D"/>
    <w:rsid w:val="00064843"/>
    <w:rsid w:val="0006557F"/>
    <w:rsid w:val="00066C04"/>
    <w:rsid w:val="00066C6A"/>
    <w:rsid w:val="000673D6"/>
    <w:rsid w:val="000719C8"/>
    <w:rsid w:val="00071AF6"/>
    <w:rsid w:val="000720C8"/>
    <w:rsid w:val="00072E24"/>
    <w:rsid w:val="00075F61"/>
    <w:rsid w:val="0007770D"/>
    <w:rsid w:val="00077755"/>
    <w:rsid w:val="00077C81"/>
    <w:rsid w:val="00077EF9"/>
    <w:rsid w:val="000809D1"/>
    <w:rsid w:val="00081012"/>
    <w:rsid w:val="00081933"/>
    <w:rsid w:val="00086716"/>
    <w:rsid w:val="0008774A"/>
    <w:rsid w:val="00087886"/>
    <w:rsid w:val="000914D7"/>
    <w:rsid w:val="000925C4"/>
    <w:rsid w:val="000926CA"/>
    <w:rsid w:val="000942D0"/>
    <w:rsid w:val="00095884"/>
    <w:rsid w:val="00096A56"/>
    <w:rsid w:val="00097337"/>
    <w:rsid w:val="0009788F"/>
    <w:rsid w:val="000A0280"/>
    <w:rsid w:val="000A098F"/>
    <w:rsid w:val="000A1046"/>
    <w:rsid w:val="000A24AF"/>
    <w:rsid w:val="000A3330"/>
    <w:rsid w:val="000A3636"/>
    <w:rsid w:val="000A40B6"/>
    <w:rsid w:val="000A5744"/>
    <w:rsid w:val="000B062C"/>
    <w:rsid w:val="000B13AA"/>
    <w:rsid w:val="000B17C7"/>
    <w:rsid w:val="000B1F5F"/>
    <w:rsid w:val="000B27C0"/>
    <w:rsid w:val="000B2C5A"/>
    <w:rsid w:val="000C01C4"/>
    <w:rsid w:val="000C1192"/>
    <w:rsid w:val="000C1F70"/>
    <w:rsid w:val="000C25ED"/>
    <w:rsid w:val="000C31BA"/>
    <w:rsid w:val="000C4785"/>
    <w:rsid w:val="000C4B53"/>
    <w:rsid w:val="000C5F44"/>
    <w:rsid w:val="000C6A6F"/>
    <w:rsid w:val="000C76DD"/>
    <w:rsid w:val="000D1A94"/>
    <w:rsid w:val="000D36F9"/>
    <w:rsid w:val="000D41DD"/>
    <w:rsid w:val="000D5F6C"/>
    <w:rsid w:val="000D6E78"/>
    <w:rsid w:val="000D77C8"/>
    <w:rsid w:val="000E1380"/>
    <w:rsid w:val="000E75DD"/>
    <w:rsid w:val="000F0D68"/>
    <w:rsid w:val="000F0D90"/>
    <w:rsid w:val="000F1219"/>
    <w:rsid w:val="000F2865"/>
    <w:rsid w:val="000F2F57"/>
    <w:rsid w:val="000F3239"/>
    <w:rsid w:val="000F3D22"/>
    <w:rsid w:val="000F440B"/>
    <w:rsid w:val="000F5CB9"/>
    <w:rsid w:val="001027E4"/>
    <w:rsid w:val="0010283F"/>
    <w:rsid w:val="001032A7"/>
    <w:rsid w:val="0010507B"/>
    <w:rsid w:val="00105229"/>
    <w:rsid w:val="00105258"/>
    <w:rsid w:val="0010575D"/>
    <w:rsid w:val="00106420"/>
    <w:rsid w:val="00106847"/>
    <w:rsid w:val="00107D21"/>
    <w:rsid w:val="00111E38"/>
    <w:rsid w:val="001122AA"/>
    <w:rsid w:val="001134A0"/>
    <w:rsid w:val="00114922"/>
    <w:rsid w:val="001166D4"/>
    <w:rsid w:val="00116F0D"/>
    <w:rsid w:val="001215D2"/>
    <w:rsid w:val="0012350C"/>
    <w:rsid w:val="00124DC9"/>
    <w:rsid w:val="00125BA3"/>
    <w:rsid w:val="00125BC5"/>
    <w:rsid w:val="00131C05"/>
    <w:rsid w:val="00132258"/>
    <w:rsid w:val="00132BCE"/>
    <w:rsid w:val="00132FCA"/>
    <w:rsid w:val="00133354"/>
    <w:rsid w:val="00133A6F"/>
    <w:rsid w:val="00134035"/>
    <w:rsid w:val="00142078"/>
    <w:rsid w:val="001429A0"/>
    <w:rsid w:val="00143529"/>
    <w:rsid w:val="001438FF"/>
    <w:rsid w:val="00143DCA"/>
    <w:rsid w:val="001440D2"/>
    <w:rsid w:val="00144131"/>
    <w:rsid w:val="00144195"/>
    <w:rsid w:val="00144739"/>
    <w:rsid w:val="00145232"/>
    <w:rsid w:val="00145DEC"/>
    <w:rsid w:val="00147D48"/>
    <w:rsid w:val="00147EF6"/>
    <w:rsid w:val="00150539"/>
    <w:rsid w:val="001516D0"/>
    <w:rsid w:val="001518F3"/>
    <w:rsid w:val="001526C7"/>
    <w:rsid w:val="00154018"/>
    <w:rsid w:val="001545CF"/>
    <w:rsid w:val="00155102"/>
    <w:rsid w:val="001562BD"/>
    <w:rsid w:val="00156E7C"/>
    <w:rsid w:val="00161959"/>
    <w:rsid w:val="0016196E"/>
    <w:rsid w:val="001635FD"/>
    <w:rsid w:val="001702E0"/>
    <w:rsid w:val="00172033"/>
    <w:rsid w:val="00173B64"/>
    <w:rsid w:val="0017424F"/>
    <w:rsid w:val="00174500"/>
    <w:rsid w:val="00174597"/>
    <w:rsid w:val="00180282"/>
    <w:rsid w:val="00181B74"/>
    <w:rsid w:val="00181D26"/>
    <w:rsid w:val="001820C9"/>
    <w:rsid w:val="001821B4"/>
    <w:rsid w:val="001833B6"/>
    <w:rsid w:val="001838CA"/>
    <w:rsid w:val="00184B48"/>
    <w:rsid w:val="001856CB"/>
    <w:rsid w:val="001864A2"/>
    <w:rsid w:val="00187549"/>
    <w:rsid w:val="001878A5"/>
    <w:rsid w:val="00190611"/>
    <w:rsid w:val="00190CB5"/>
    <w:rsid w:val="001918EF"/>
    <w:rsid w:val="00193918"/>
    <w:rsid w:val="00194C00"/>
    <w:rsid w:val="0019594B"/>
    <w:rsid w:val="00196090"/>
    <w:rsid w:val="00196A08"/>
    <w:rsid w:val="00196E28"/>
    <w:rsid w:val="001971E4"/>
    <w:rsid w:val="001A0FD8"/>
    <w:rsid w:val="001A1982"/>
    <w:rsid w:val="001A3D52"/>
    <w:rsid w:val="001B1F74"/>
    <w:rsid w:val="001B3AF2"/>
    <w:rsid w:val="001B507F"/>
    <w:rsid w:val="001B54A0"/>
    <w:rsid w:val="001B58E3"/>
    <w:rsid w:val="001B59A3"/>
    <w:rsid w:val="001B6783"/>
    <w:rsid w:val="001B68AB"/>
    <w:rsid w:val="001B732F"/>
    <w:rsid w:val="001C0A6A"/>
    <w:rsid w:val="001C141C"/>
    <w:rsid w:val="001C1F4C"/>
    <w:rsid w:val="001C39BD"/>
    <w:rsid w:val="001C4042"/>
    <w:rsid w:val="001C43CB"/>
    <w:rsid w:val="001C43CE"/>
    <w:rsid w:val="001C49EF"/>
    <w:rsid w:val="001C5A06"/>
    <w:rsid w:val="001C7A76"/>
    <w:rsid w:val="001C7D13"/>
    <w:rsid w:val="001C7FF7"/>
    <w:rsid w:val="001D0673"/>
    <w:rsid w:val="001D13F2"/>
    <w:rsid w:val="001D518F"/>
    <w:rsid w:val="001D5EB5"/>
    <w:rsid w:val="001D6652"/>
    <w:rsid w:val="001E103B"/>
    <w:rsid w:val="001E17CD"/>
    <w:rsid w:val="001E1839"/>
    <w:rsid w:val="001E1D0D"/>
    <w:rsid w:val="001E21CA"/>
    <w:rsid w:val="001E30F6"/>
    <w:rsid w:val="001E3435"/>
    <w:rsid w:val="001E74EB"/>
    <w:rsid w:val="001F23BA"/>
    <w:rsid w:val="001F5167"/>
    <w:rsid w:val="001F5EA7"/>
    <w:rsid w:val="001F6CEF"/>
    <w:rsid w:val="001F7FD4"/>
    <w:rsid w:val="002016D2"/>
    <w:rsid w:val="00206663"/>
    <w:rsid w:val="002069C7"/>
    <w:rsid w:val="00207064"/>
    <w:rsid w:val="00214154"/>
    <w:rsid w:val="002141EC"/>
    <w:rsid w:val="00215751"/>
    <w:rsid w:val="00217990"/>
    <w:rsid w:val="00220DE3"/>
    <w:rsid w:val="00221B43"/>
    <w:rsid w:val="002220F8"/>
    <w:rsid w:val="00223075"/>
    <w:rsid w:val="0022344C"/>
    <w:rsid w:val="00224BF6"/>
    <w:rsid w:val="00224E0F"/>
    <w:rsid w:val="00225BC6"/>
    <w:rsid w:val="002303B3"/>
    <w:rsid w:val="002325A0"/>
    <w:rsid w:val="0023275A"/>
    <w:rsid w:val="00233BAD"/>
    <w:rsid w:val="002348D4"/>
    <w:rsid w:val="002360FA"/>
    <w:rsid w:val="002373E9"/>
    <w:rsid w:val="002377B0"/>
    <w:rsid w:val="00237B47"/>
    <w:rsid w:val="00242383"/>
    <w:rsid w:val="002430F7"/>
    <w:rsid w:val="002446FC"/>
    <w:rsid w:val="00245C9B"/>
    <w:rsid w:val="002462AB"/>
    <w:rsid w:val="002465BF"/>
    <w:rsid w:val="00246EBD"/>
    <w:rsid w:val="0025061F"/>
    <w:rsid w:val="00251263"/>
    <w:rsid w:val="00251B1B"/>
    <w:rsid w:val="00252F4F"/>
    <w:rsid w:val="00253DB8"/>
    <w:rsid w:val="00257DE1"/>
    <w:rsid w:val="002614B2"/>
    <w:rsid w:val="00261648"/>
    <w:rsid w:val="00262335"/>
    <w:rsid w:val="00262480"/>
    <w:rsid w:val="002626EC"/>
    <w:rsid w:val="00267FCC"/>
    <w:rsid w:val="00271EDA"/>
    <w:rsid w:val="002727AD"/>
    <w:rsid w:val="002739CF"/>
    <w:rsid w:val="002740F5"/>
    <w:rsid w:val="002752FF"/>
    <w:rsid w:val="00275C42"/>
    <w:rsid w:val="00277005"/>
    <w:rsid w:val="00277526"/>
    <w:rsid w:val="00280C17"/>
    <w:rsid w:val="002815F8"/>
    <w:rsid w:val="00282CDF"/>
    <w:rsid w:val="002845DC"/>
    <w:rsid w:val="00284EB1"/>
    <w:rsid w:val="002853EC"/>
    <w:rsid w:val="002866F2"/>
    <w:rsid w:val="00286735"/>
    <w:rsid w:val="0028711B"/>
    <w:rsid w:val="00287777"/>
    <w:rsid w:val="002901A2"/>
    <w:rsid w:val="00295887"/>
    <w:rsid w:val="0029616D"/>
    <w:rsid w:val="0029797F"/>
    <w:rsid w:val="002A0F4C"/>
    <w:rsid w:val="002A154D"/>
    <w:rsid w:val="002A177E"/>
    <w:rsid w:val="002A17CE"/>
    <w:rsid w:val="002A469A"/>
    <w:rsid w:val="002A568F"/>
    <w:rsid w:val="002A589C"/>
    <w:rsid w:val="002A6785"/>
    <w:rsid w:val="002B1CAD"/>
    <w:rsid w:val="002B2BB8"/>
    <w:rsid w:val="002B2F97"/>
    <w:rsid w:val="002B3420"/>
    <w:rsid w:val="002B42E1"/>
    <w:rsid w:val="002B45FF"/>
    <w:rsid w:val="002B5A88"/>
    <w:rsid w:val="002B5BFA"/>
    <w:rsid w:val="002B5F0B"/>
    <w:rsid w:val="002C25F2"/>
    <w:rsid w:val="002C2A46"/>
    <w:rsid w:val="002C2C1E"/>
    <w:rsid w:val="002C2DBE"/>
    <w:rsid w:val="002C3B3C"/>
    <w:rsid w:val="002C3E00"/>
    <w:rsid w:val="002C6044"/>
    <w:rsid w:val="002C6607"/>
    <w:rsid w:val="002C7D11"/>
    <w:rsid w:val="002D0DFA"/>
    <w:rsid w:val="002D19BB"/>
    <w:rsid w:val="002D30D5"/>
    <w:rsid w:val="002D4219"/>
    <w:rsid w:val="002D4630"/>
    <w:rsid w:val="002D466A"/>
    <w:rsid w:val="002D550A"/>
    <w:rsid w:val="002D6C5F"/>
    <w:rsid w:val="002D74DC"/>
    <w:rsid w:val="002D7696"/>
    <w:rsid w:val="002E01E1"/>
    <w:rsid w:val="002E2582"/>
    <w:rsid w:val="002E30A3"/>
    <w:rsid w:val="002E35C3"/>
    <w:rsid w:val="002E44B3"/>
    <w:rsid w:val="002E53BD"/>
    <w:rsid w:val="002F049B"/>
    <w:rsid w:val="002F22EF"/>
    <w:rsid w:val="002F3298"/>
    <w:rsid w:val="002F432F"/>
    <w:rsid w:val="002F4544"/>
    <w:rsid w:val="002F6E54"/>
    <w:rsid w:val="003004ED"/>
    <w:rsid w:val="0030117D"/>
    <w:rsid w:val="00301569"/>
    <w:rsid w:val="00303CAB"/>
    <w:rsid w:val="003044C9"/>
    <w:rsid w:val="00304848"/>
    <w:rsid w:val="00307D1D"/>
    <w:rsid w:val="00310FEE"/>
    <w:rsid w:val="003111D3"/>
    <w:rsid w:val="003134C8"/>
    <w:rsid w:val="00313710"/>
    <w:rsid w:val="00317005"/>
    <w:rsid w:val="0032110B"/>
    <w:rsid w:val="00321D27"/>
    <w:rsid w:val="00321F3D"/>
    <w:rsid w:val="00322946"/>
    <w:rsid w:val="00325415"/>
    <w:rsid w:val="00325980"/>
    <w:rsid w:val="00326F99"/>
    <w:rsid w:val="0033272B"/>
    <w:rsid w:val="003331C5"/>
    <w:rsid w:val="00335F85"/>
    <w:rsid w:val="00336867"/>
    <w:rsid w:val="00341367"/>
    <w:rsid w:val="00341438"/>
    <w:rsid w:val="00341735"/>
    <w:rsid w:val="0034362F"/>
    <w:rsid w:val="00343D6F"/>
    <w:rsid w:val="003454B8"/>
    <w:rsid w:val="00347DCB"/>
    <w:rsid w:val="00352230"/>
    <w:rsid w:val="0035374E"/>
    <w:rsid w:val="00355A7E"/>
    <w:rsid w:val="00355B4F"/>
    <w:rsid w:val="003573D1"/>
    <w:rsid w:val="003573EE"/>
    <w:rsid w:val="0036080C"/>
    <w:rsid w:val="00360F67"/>
    <w:rsid w:val="00361B3C"/>
    <w:rsid w:val="003636E9"/>
    <w:rsid w:val="00364314"/>
    <w:rsid w:val="00364A27"/>
    <w:rsid w:val="00364FF3"/>
    <w:rsid w:val="00365A85"/>
    <w:rsid w:val="003663D1"/>
    <w:rsid w:val="00367047"/>
    <w:rsid w:val="00370FCE"/>
    <w:rsid w:val="003710E3"/>
    <w:rsid w:val="00371EDA"/>
    <w:rsid w:val="00372E36"/>
    <w:rsid w:val="00373975"/>
    <w:rsid w:val="00373C00"/>
    <w:rsid w:val="003743F5"/>
    <w:rsid w:val="00375961"/>
    <w:rsid w:val="00375B15"/>
    <w:rsid w:val="003771D1"/>
    <w:rsid w:val="00380183"/>
    <w:rsid w:val="00380ADA"/>
    <w:rsid w:val="0038391E"/>
    <w:rsid w:val="00385A60"/>
    <w:rsid w:val="0038707E"/>
    <w:rsid w:val="00390C97"/>
    <w:rsid w:val="00394BB5"/>
    <w:rsid w:val="00395215"/>
    <w:rsid w:val="00395A33"/>
    <w:rsid w:val="00397BA8"/>
    <w:rsid w:val="003A0453"/>
    <w:rsid w:val="003A1080"/>
    <w:rsid w:val="003A15DA"/>
    <w:rsid w:val="003A187B"/>
    <w:rsid w:val="003A1F4A"/>
    <w:rsid w:val="003A2263"/>
    <w:rsid w:val="003A2C71"/>
    <w:rsid w:val="003A57E5"/>
    <w:rsid w:val="003A5C46"/>
    <w:rsid w:val="003A6DDB"/>
    <w:rsid w:val="003B0AB0"/>
    <w:rsid w:val="003B189E"/>
    <w:rsid w:val="003B1CC5"/>
    <w:rsid w:val="003B236D"/>
    <w:rsid w:val="003B4242"/>
    <w:rsid w:val="003B54C3"/>
    <w:rsid w:val="003B56BD"/>
    <w:rsid w:val="003C0D05"/>
    <w:rsid w:val="003C1AD0"/>
    <w:rsid w:val="003C1D21"/>
    <w:rsid w:val="003C2A9C"/>
    <w:rsid w:val="003C4CA9"/>
    <w:rsid w:val="003C6B4B"/>
    <w:rsid w:val="003C79B1"/>
    <w:rsid w:val="003D1986"/>
    <w:rsid w:val="003D352D"/>
    <w:rsid w:val="003D4B5D"/>
    <w:rsid w:val="003D577A"/>
    <w:rsid w:val="003D6F77"/>
    <w:rsid w:val="003D7AE4"/>
    <w:rsid w:val="003E297A"/>
    <w:rsid w:val="003E2DA1"/>
    <w:rsid w:val="003E4196"/>
    <w:rsid w:val="003E4409"/>
    <w:rsid w:val="003E52E5"/>
    <w:rsid w:val="003E579F"/>
    <w:rsid w:val="003E59E2"/>
    <w:rsid w:val="003E5D83"/>
    <w:rsid w:val="003E67D4"/>
    <w:rsid w:val="003E691B"/>
    <w:rsid w:val="003F127B"/>
    <w:rsid w:val="003F1C35"/>
    <w:rsid w:val="003F2096"/>
    <w:rsid w:val="003F25C6"/>
    <w:rsid w:val="003F2837"/>
    <w:rsid w:val="003F2848"/>
    <w:rsid w:val="003F4076"/>
    <w:rsid w:val="003F4E3C"/>
    <w:rsid w:val="003F5AAF"/>
    <w:rsid w:val="003F6B0F"/>
    <w:rsid w:val="003F6C28"/>
    <w:rsid w:val="003F79F2"/>
    <w:rsid w:val="004011A5"/>
    <w:rsid w:val="00402106"/>
    <w:rsid w:val="00403276"/>
    <w:rsid w:val="004039F7"/>
    <w:rsid w:val="00410005"/>
    <w:rsid w:val="00411BE5"/>
    <w:rsid w:val="00411FEB"/>
    <w:rsid w:val="00412FB8"/>
    <w:rsid w:val="00413846"/>
    <w:rsid w:val="00415420"/>
    <w:rsid w:val="00415D0C"/>
    <w:rsid w:val="00422ED3"/>
    <w:rsid w:val="004248B1"/>
    <w:rsid w:val="004267B2"/>
    <w:rsid w:val="00427862"/>
    <w:rsid w:val="00427B66"/>
    <w:rsid w:val="00431961"/>
    <w:rsid w:val="00433293"/>
    <w:rsid w:val="00433652"/>
    <w:rsid w:val="004342CF"/>
    <w:rsid w:val="00436583"/>
    <w:rsid w:val="004365A4"/>
    <w:rsid w:val="00440878"/>
    <w:rsid w:val="0044192F"/>
    <w:rsid w:val="00441FCB"/>
    <w:rsid w:val="00442824"/>
    <w:rsid w:val="00445D87"/>
    <w:rsid w:val="00447BA9"/>
    <w:rsid w:val="00447DC8"/>
    <w:rsid w:val="00450404"/>
    <w:rsid w:val="00451035"/>
    <w:rsid w:val="00451100"/>
    <w:rsid w:val="00451DDC"/>
    <w:rsid w:val="00454682"/>
    <w:rsid w:val="004557EB"/>
    <w:rsid w:val="0045625F"/>
    <w:rsid w:val="004572A1"/>
    <w:rsid w:val="004573BF"/>
    <w:rsid w:val="004575E1"/>
    <w:rsid w:val="00462B43"/>
    <w:rsid w:val="00464C59"/>
    <w:rsid w:val="00465170"/>
    <w:rsid w:val="00465994"/>
    <w:rsid w:val="00466092"/>
    <w:rsid w:val="00466289"/>
    <w:rsid w:val="00467943"/>
    <w:rsid w:val="00470029"/>
    <w:rsid w:val="004711E8"/>
    <w:rsid w:val="0047185D"/>
    <w:rsid w:val="00473047"/>
    <w:rsid w:val="0047340B"/>
    <w:rsid w:val="00475286"/>
    <w:rsid w:val="0047595F"/>
    <w:rsid w:val="00476A13"/>
    <w:rsid w:val="0048192E"/>
    <w:rsid w:val="00482080"/>
    <w:rsid w:val="00485C66"/>
    <w:rsid w:val="00490028"/>
    <w:rsid w:val="00490529"/>
    <w:rsid w:val="00491D81"/>
    <w:rsid w:val="0049260A"/>
    <w:rsid w:val="0049463A"/>
    <w:rsid w:val="00494661"/>
    <w:rsid w:val="004950FA"/>
    <w:rsid w:val="004953F9"/>
    <w:rsid w:val="00495A65"/>
    <w:rsid w:val="00495C15"/>
    <w:rsid w:val="00496B78"/>
    <w:rsid w:val="004A0890"/>
    <w:rsid w:val="004A1D9C"/>
    <w:rsid w:val="004A20AE"/>
    <w:rsid w:val="004A3423"/>
    <w:rsid w:val="004A521E"/>
    <w:rsid w:val="004A5684"/>
    <w:rsid w:val="004A61C3"/>
    <w:rsid w:val="004B1C3D"/>
    <w:rsid w:val="004B1FB1"/>
    <w:rsid w:val="004B2B41"/>
    <w:rsid w:val="004B2E4D"/>
    <w:rsid w:val="004B3771"/>
    <w:rsid w:val="004B4B0E"/>
    <w:rsid w:val="004B58F6"/>
    <w:rsid w:val="004B6386"/>
    <w:rsid w:val="004B7145"/>
    <w:rsid w:val="004B73B1"/>
    <w:rsid w:val="004C1252"/>
    <w:rsid w:val="004C22CC"/>
    <w:rsid w:val="004C3DAC"/>
    <w:rsid w:val="004C6E2F"/>
    <w:rsid w:val="004C6E8B"/>
    <w:rsid w:val="004D05AE"/>
    <w:rsid w:val="004D0E1E"/>
    <w:rsid w:val="004D15DB"/>
    <w:rsid w:val="004D3620"/>
    <w:rsid w:val="004D4E8D"/>
    <w:rsid w:val="004D6DAE"/>
    <w:rsid w:val="004D713F"/>
    <w:rsid w:val="004E1863"/>
    <w:rsid w:val="004E33CF"/>
    <w:rsid w:val="004E47EB"/>
    <w:rsid w:val="004E5F81"/>
    <w:rsid w:val="004E63A7"/>
    <w:rsid w:val="004E7235"/>
    <w:rsid w:val="004E7A16"/>
    <w:rsid w:val="004E7B44"/>
    <w:rsid w:val="004F07F3"/>
    <w:rsid w:val="004F2A2C"/>
    <w:rsid w:val="004F2A41"/>
    <w:rsid w:val="004F353B"/>
    <w:rsid w:val="004F53E3"/>
    <w:rsid w:val="00500670"/>
    <w:rsid w:val="00502DD6"/>
    <w:rsid w:val="0050449D"/>
    <w:rsid w:val="005059AD"/>
    <w:rsid w:val="0050746F"/>
    <w:rsid w:val="00507AB0"/>
    <w:rsid w:val="005102EB"/>
    <w:rsid w:val="005105B0"/>
    <w:rsid w:val="005129BA"/>
    <w:rsid w:val="005134E9"/>
    <w:rsid w:val="00515656"/>
    <w:rsid w:val="0051686F"/>
    <w:rsid w:val="00520494"/>
    <w:rsid w:val="00522F46"/>
    <w:rsid w:val="00523525"/>
    <w:rsid w:val="005240F4"/>
    <w:rsid w:val="005253C2"/>
    <w:rsid w:val="005264D5"/>
    <w:rsid w:val="00527815"/>
    <w:rsid w:val="005320E5"/>
    <w:rsid w:val="00532F93"/>
    <w:rsid w:val="00534363"/>
    <w:rsid w:val="005345B9"/>
    <w:rsid w:val="00534ABF"/>
    <w:rsid w:val="005353A3"/>
    <w:rsid w:val="00536C4D"/>
    <w:rsid w:val="00537348"/>
    <w:rsid w:val="00540123"/>
    <w:rsid w:val="00540F85"/>
    <w:rsid w:val="0054560E"/>
    <w:rsid w:val="005468E4"/>
    <w:rsid w:val="005509D4"/>
    <w:rsid w:val="005542C6"/>
    <w:rsid w:val="00556033"/>
    <w:rsid w:val="00556F8D"/>
    <w:rsid w:val="00557066"/>
    <w:rsid w:val="005618C2"/>
    <w:rsid w:val="00563984"/>
    <w:rsid w:val="005656D7"/>
    <w:rsid w:val="00565D71"/>
    <w:rsid w:val="00567836"/>
    <w:rsid w:val="005741E5"/>
    <w:rsid w:val="0057453C"/>
    <w:rsid w:val="00574AD5"/>
    <w:rsid w:val="00576BE1"/>
    <w:rsid w:val="00577133"/>
    <w:rsid w:val="00577B59"/>
    <w:rsid w:val="00581E65"/>
    <w:rsid w:val="0058302F"/>
    <w:rsid w:val="00583AB6"/>
    <w:rsid w:val="00583F94"/>
    <w:rsid w:val="00584A58"/>
    <w:rsid w:val="005851EB"/>
    <w:rsid w:val="00585509"/>
    <w:rsid w:val="00586005"/>
    <w:rsid w:val="00590C9A"/>
    <w:rsid w:val="00596A89"/>
    <w:rsid w:val="00596DA5"/>
    <w:rsid w:val="005A211E"/>
    <w:rsid w:val="005A259D"/>
    <w:rsid w:val="005A28E9"/>
    <w:rsid w:val="005A4211"/>
    <w:rsid w:val="005A49EF"/>
    <w:rsid w:val="005A52BE"/>
    <w:rsid w:val="005B0805"/>
    <w:rsid w:val="005B2C9E"/>
    <w:rsid w:val="005B2FF6"/>
    <w:rsid w:val="005B3204"/>
    <w:rsid w:val="005B4D87"/>
    <w:rsid w:val="005B4FAA"/>
    <w:rsid w:val="005B6712"/>
    <w:rsid w:val="005C080E"/>
    <w:rsid w:val="005C0BE8"/>
    <w:rsid w:val="005C117C"/>
    <w:rsid w:val="005C377C"/>
    <w:rsid w:val="005C39C5"/>
    <w:rsid w:val="005C3CE8"/>
    <w:rsid w:val="005C3FDF"/>
    <w:rsid w:val="005C4273"/>
    <w:rsid w:val="005C4E27"/>
    <w:rsid w:val="005C5F2B"/>
    <w:rsid w:val="005D0668"/>
    <w:rsid w:val="005D2374"/>
    <w:rsid w:val="005D244C"/>
    <w:rsid w:val="005D26F9"/>
    <w:rsid w:val="005D2DB6"/>
    <w:rsid w:val="005D5935"/>
    <w:rsid w:val="005E0A49"/>
    <w:rsid w:val="005E203A"/>
    <w:rsid w:val="005E31F2"/>
    <w:rsid w:val="005E3416"/>
    <w:rsid w:val="005E35FE"/>
    <w:rsid w:val="005E3647"/>
    <w:rsid w:val="005E42BA"/>
    <w:rsid w:val="005E4A4C"/>
    <w:rsid w:val="005E50D7"/>
    <w:rsid w:val="005E5995"/>
    <w:rsid w:val="005E6467"/>
    <w:rsid w:val="005E65D4"/>
    <w:rsid w:val="005F0E04"/>
    <w:rsid w:val="005F1021"/>
    <w:rsid w:val="005F1A63"/>
    <w:rsid w:val="005F1A9D"/>
    <w:rsid w:val="005F24BC"/>
    <w:rsid w:val="005F421B"/>
    <w:rsid w:val="005F488F"/>
    <w:rsid w:val="005F4A26"/>
    <w:rsid w:val="005F55D2"/>
    <w:rsid w:val="005F5BF3"/>
    <w:rsid w:val="005F5E46"/>
    <w:rsid w:val="005F627B"/>
    <w:rsid w:val="005F63D7"/>
    <w:rsid w:val="005F7290"/>
    <w:rsid w:val="00601AB3"/>
    <w:rsid w:val="006037DA"/>
    <w:rsid w:val="00603A3C"/>
    <w:rsid w:val="006050C6"/>
    <w:rsid w:val="00613129"/>
    <w:rsid w:val="0061519C"/>
    <w:rsid w:val="00615653"/>
    <w:rsid w:val="00617B14"/>
    <w:rsid w:val="00620197"/>
    <w:rsid w:val="00621C49"/>
    <w:rsid w:val="00621D29"/>
    <w:rsid w:val="00621E1B"/>
    <w:rsid w:val="00623301"/>
    <w:rsid w:val="00624177"/>
    <w:rsid w:val="006269A2"/>
    <w:rsid w:val="00630161"/>
    <w:rsid w:val="00631B3D"/>
    <w:rsid w:val="00631D69"/>
    <w:rsid w:val="0063208C"/>
    <w:rsid w:val="00633D55"/>
    <w:rsid w:val="00633EF7"/>
    <w:rsid w:val="00634546"/>
    <w:rsid w:val="00634D9F"/>
    <w:rsid w:val="00635F52"/>
    <w:rsid w:val="00637047"/>
    <w:rsid w:val="00637F9C"/>
    <w:rsid w:val="006409E3"/>
    <w:rsid w:val="00640B60"/>
    <w:rsid w:val="00640E7F"/>
    <w:rsid w:val="00643083"/>
    <w:rsid w:val="006432C0"/>
    <w:rsid w:val="00643300"/>
    <w:rsid w:val="0064330C"/>
    <w:rsid w:val="006451A7"/>
    <w:rsid w:val="00645300"/>
    <w:rsid w:val="0064558B"/>
    <w:rsid w:val="00647040"/>
    <w:rsid w:val="006517E0"/>
    <w:rsid w:val="00652461"/>
    <w:rsid w:val="00652A65"/>
    <w:rsid w:val="00654AE8"/>
    <w:rsid w:val="00656847"/>
    <w:rsid w:val="00657877"/>
    <w:rsid w:val="00660B98"/>
    <w:rsid w:val="00663A76"/>
    <w:rsid w:val="00663DFA"/>
    <w:rsid w:val="0066437F"/>
    <w:rsid w:val="0066555F"/>
    <w:rsid w:val="00671141"/>
    <w:rsid w:val="00671390"/>
    <w:rsid w:val="00672524"/>
    <w:rsid w:val="00672BC8"/>
    <w:rsid w:val="00673CF6"/>
    <w:rsid w:val="0067441A"/>
    <w:rsid w:val="00674A2D"/>
    <w:rsid w:val="006762C5"/>
    <w:rsid w:val="00676E1E"/>
    <w:rsid w:val="00680016"/>
    <w:rsid w:val="00681199"/>
    <w:rsid w:val="00683507"/>
    <w:rsid w:val="00683A01"/>
    <w:rsid w:val="0068493F"/>
    <w:rsid w:val="00684EC8"/>
    <w:rsid w:val="00684EF9"/>
    <w:rsid w:val="00685364"/>
    <w:rsid w:val="00685E00"/>
    <w:rsid w:val="00685F81"/>
    <w:rsid w:val="006875EE"/>
    <w:rsid w:val="00687BE6"/>
    <w:rsid w:val="0069153A"/>
    <w:rsid w:val="00691713"/>
    <w:rsid w:val="00691F0F"/>
    <w:rsid w:val="006924F0"/>
    <w:rsid w:val="00692555"/>
    <w:rsid w:val="0069290B"/>
    <w:rsid w:val="00692C7C"/>
    <w:rsid w:val="00692FFC"/>
    <w:rsid w:val="0069322A"/>
    <w:rsid w:val="00693F1F"/>
    <w:rsid w:val="00694298"/>
    <w:rsid w:val="00694FCD"/>
    <w:rsid w:val="00696510"/>
    <w:rsid w:val="006A1B1E"/>
    <w:rsid w:val="006A38BF"/>
    <w:rsid w:val="006A46F6"/>
    <w:rsid w:val="006A54AA"/>
    <w:rsid w:val="006A586E"/>
    <w:rsid w:val="006A59A6"/>
    <w:rsid w:val="006B0427"/>
    <w:rsid w:val="006B09B8"/>
    <w:rsid w:val="006B2EBC"/>
    <w:rsid w:val="006B4581"/>
    <w:rsid w:val="006B4CAC"/>
    <w:rsid w:val="006C02CB"/>
    <w:rsid w:val="006C05E3"/>
    <w:rsid w:val="006C154C"/>
    <w:rsid w:val="006C2F50"/>
    <w:rsid w:val="006C6AB9"/>
    <w:rsid w:val="006D4121"/>
    <w:rsid w:val="006D758A"/>
    <w:rsid w:val="006D7A32"/>
    <w:rsid w:val="006E0B19"/>
    <w:rsid w:val="006E1367"/>
    <w:rsid w:val="006E37B7"/>
    <w:rsid w:val="006E41C0"/>
    <w:rsid w:val="006E4681"/>
    <w:rsid w:val="006E52E2"/>
    <w:rsid w:val="006E55E0"/>
    <w:rsid w:val="006E61D4"/>
    <w:rsid w:val="006E7D12"/>
    <w:rsid w:val="006F0241"/>
    <w:rsid w:val="006F0A27"/>
    <w:rsid w:val="006F0CA8"/>
    <w:rsid w:val="006F263F"/>
    <w:rsid w:val="006F2801"/>
    <w:rsid w:val="006F3B4A"/>
    <w:rsid w:val="006F4E9D"/>
    <w:rsid w:val="006F732C"/>
    <w:rsid w:val="00702A34"/>
    <w:rsid w:val="007044F2"/>
    <w:rsid w:val="0070671E"/>
    <w:rsid w:val="0070706D"/>
    <w:rsid w:val="007075B4"/>
    <w:rsid w:val="007077DE"/>
    <w:rsid w:val="00710FDC"/>
    <w:rsid w:val="00713D8A"/>
    <w:rsid w:val="00714BDF"/>
    <w:rsid w:val="00715EC2"/>
    <w:rsid w:val="00716029"/>
    <w:rsid w:val="00716DE5"/>
    <w:rsid w:val="00721E33"/>
    <w:rsid w:val="00722EA0"/>
    <w:rsid w:val="00723CFA"/>
    <w:rsid w:val="007269D3"/>
    <w:rsid w:val="00726C0E"/>
    <w:rsid w:val="0072786C"/>
    <w:rsid w:val="00727C98"/>
    <w:rsid w:val="0073053B"/>
    <w:rsid w:val="00731C6F"/>
    <w:rsid w:val="00731D3E"/>
    <w:rsid w:val="00731EEE"/>
    <w:rsid w:val="007342E4"/>
    <w:rsid w:val="00734A93"/>
    <w:rsid w:val="00734D68"/>
    <w:rsid w:val="007363E5"/>
    <w:rsid w:val="00736AF6"/>
    <w:rsid w:val="00737E40"/>
    <w:rsid w:val="00742374"/>
    <w:rsid w:val="0074289D"/>
    <w:rsid w:val="00744B59"/>
    <w:rsid w:val="007466B9"/>
    <w:rsid w:val="00750393"/>
    <w:rsid w:val="00750676"/>
    <w:rsid w:val="0075102B"/>
    <w:rsid w:val="00751267"/>
    <w:rsid w:val="00752C73"/>
    <w:rsid w:val="0075400A"/>
    <w:rsid w:val="00754ACE"/>
    <w:rsid w:val="007557D6"/>
    <w:rsid w:val="00755BFC"/>
    <w:rsid w:val="0075676C"/>
    <w:rsid w:val="00757E7C"/>
    <w:rsid w:val="00757F40"/>
    <w:rsid w:val="00760DDB"/>
    <w:rsid w:val="007614C5"/>
    <w:rsid w:val="007614E0"/>
    <w:rsid w:val="00762BD1"/>
    <w:rsid w:val="00763B4B"/>
    <w:rsid w:val="007669A6"/>
    <w:rsid w:val="00766E80"/>
    <w:rsid w:val="0076716C"/>
    <w:rsid w:val="00767A79"/>
    <w:rsid w:val="007700DF"/>
    <w:rsid w:val="007718DE"/>
    <w:rsid w:val="00771BFB"/>
    <w:rsid w:val="00772353"/>
    <w:rsid w:val="007727CB"/>
    <w:rsid w:val="00772F48"/>
    <w:rsid w:val="007732D0"/>
    <w:rsid w:val="007732D4"/>
    <w:rsid w:val="00773833"/>
    <w:rsid w:val="00773B08"/>
    <w:rsid w:val="00774425"/>
    <w:rsid w:val="00775C2E"/>
    <w:rsid w:val="00776448"/>
    <w:rsid w:val="00776578"/>
    <w:rsid w:val="007772CD"/>
    <w:rsid w:val="00781384"/>
    <w:rsid w:val="00781E58"/>
    <w:rsid w:val="00782936"/>
    <w:rsid w:val="0078332E"/>
    <w:rsid w:val="007901DD"/>
    <w:rsid w:val="00790467"/>
    <w:rsid w:val="007905DB"/>
    <w:rsid w:val="0079197C"/>
    <w:rsid w:val="00791FF9"/>
    <w:rsid w:val="00792E66"/>
    <w:rsid w:val="0079325A"/>
    <w:rsid w:val="00794026"/>
    <w:rsid w:val="00795DD4"/>
    <w:rsid w:val="00797712"/>
    <w:rsid w:val="007A0FDF"/>
    <w:rsid w:val="007A145E"/>
    <w:rsid w:val="007A19FE"/>
    <w:rsid w:val="007A3AB8"/>
    <w:rsid w:val="007A5200"/>
    <w:rsid w:val="007A5CA7"/>
    <w:rsid w:val="007A6E6F"/>
    <w:rsid w:val="007B0008"/>
    <w:rsid w:val="007B02DF"/>
    <w:rsid w:val="007B4932"/>
    <w:rsid w:val="007B51F6"/>
    <w:rsid w:val="007B5812"/>
    <w:rsid w:val="007B6299"/>
    <w:rsid w:val="007B65B9"/>
    <w:rsid w:val="007B745B"/>
    <w:rsid w:val="007C1911"/>
    <w:rsid w:val="007C2225"/>
    <w:rsid w:val="007C28FB"/>
    <w:rsid w:val="007C29D1"/>
    <w:rsid w:val="007C45AB"/>
    <w:rsid w:val="007C5C3F"/>
    <w:rsid w:val="007C6F37"/>
    <w:rsid w:val="007D005B"/>
    <w:rsid w:val="007D0839"/>
    <w:rsid w:val="007D1CB5"/>
    <w:rsid w:val="007D374E"/>
    <w:rsid w:val="007D3EE9"/>
    <w:rsid w:val="007D5D05"/>
    <w:rsid w:val="007D61CB"/>
    <w:rsid w:val="007D623D"/>
    <w:rsid w:val="007D6526"/>
    <w:rsid w:val="007E0FD4"/>
    <w:rsid w:val="007E1296"/>
    <w:rsid w:val="007E247F"/>
    <w:rsid w:val="007E2573"/>
    <w:rsid w:val="007E3DE1"/>
    <w:rsid w:val="007E4705"/>
    <w:rsid w:val="007E50F4"/>
    <w:rsid w:val="007E5E0D"/>
    <w:rsid w:val="007E7774"/>
    <w:rsid w:val="007E7CF9"/>
    <w:rsid w:val="007F0F07"/>
    <w:rsid w:val="007F1290"/>
    <w:rsid w:val="007F1D77"/>
    <w:rsid w:val="007F28AF"/>
    <w:rsid w:val="007F2DF6"/>
    <w:rsid w:val="007F5776"/>
    <w:rsid w:val="007F5A25"/>
    <w:rsid w:val="007F69D5"/>
    <w:rsid w:val="00800D3F"/>
    <w:rsid w:val="00801A02"/>
    <w:rsid w:val="00801A16"/>
    <w:rsid w:val="00802DA3"/>
    <w:rsid w:val="00806436"/>
    <w:rsid w:val="008075EC"/>
    <w:rsid w:val="00807DD3"/>
    <w:rsid w:val="00810279"/>
    <w:rsid w:val="008106B4"/>
    <w:rsid w:val="00812F2B"/>
    <w:rsid w:val="0081393E"/>
    <w:rsid w:val="00813ABF"/>
    <w:rsid w:val="008140BB"/>
    <w:rsid w:val="0081486A"/>
    <w:rsid w:val="00816296"/>
    <w:rsid w:val="00816AF9"/>
    <w:rsid w:val="00817B23"/>
    <w:rsid w:val="008207E6"/>
    <w:rsid w:val="008218A3"/>
    <w:rsid w:val="00822088"/>
    <w:rsid w:val="0082268B"/>
    <w:rsid w:val="00824848"/>
    <w:rsid w:val="00825B9B"/>
    <w:rsid w:val="00830785"/>
    <w:rsid w:val="0083216B"/>
    <w:rsid w:val="008334A2"/>
    <w:rsid w:val="00834869"/>
    <w:rsid w:val="00835E62"/>
    <w:rsid w:val="00837BCC"/>
    <w:rsid w:val="00841A80"/>
    <w:rsid w:val="00844188"/>
    <w:rsid w:val="00844BB2"/>
    <w:rsid w:val="0084685E"/>
    <w:rsid w:val="00847338"/>
    <w:rsid w:val="0085030A"/>
    <w:rsid w:val="00852F7E"/>
    <w:rsid w:val="00854AD8"/>
    <w:rsid w:val="00855B46"/>
    <w:rsid w:val="0085612B"/>
    <w:rsid w:val="00856F2C"/>
    <w:rsid w:val="00857D6F"/>
    <w:rsid w:val="00860B4B"/>
    <w:rsid w:val="00862786"/>
    <w:rsid w:val="00862CAD"/>
    <w:rsid w:val="008650C1"/>
    <w:rsid w:val="00871799"/>
    <w:rsid w:val="008724EB"/>
    <w:rsid w:val="00872FC1"/>
    <w:rsid w:val="008733E5"/>
    <w:rsid w:val="00873F94"/>
    <w:rsid w:val="00874239"/>
    <w:rsid w:val="00875314"/>
    <w:rsid w:val="00876D3E"/>
    <w:rsid w:val="00877517"/>
    <w:rsid w:val="0088069B"/>
    <w:rsid w:val="008809C1"/>
    <w:rsid w:val="00880FD4"/>
    <w:rsid w:val="0088127D"/>
    <w:rsid w:val="00881B0D"/>
    <w:rsid w:val="00881F2A"/>
    <w:rsid w:val="00884257"/>
    <w:rsid w:val="00884BDC"/>
    <w:rsid w:val="00885355"/>
    <w:rsid w:val="00885C3F"/>
    <w:rsid w:val="00885CD7"/>
    <w:rsid w:val="00885F5C"/>
    <w:rsid w:val="00886727"/>
    <w:rsid w:val="00887636"/>
    <w:rsid w:val="00887E81"/>
    <w:rsid w:val="008907CE"/>
    <w:rsid w:val="0089183C"/>
    <w:rsid w:val="00891CB2"/>
    <w:rsid w:val="00892C6B"/>
    <w:rsid w:val="0089423B"/>
    <w:rsid w:val="0089661A"/>
    <w:rsid w:val="008975A9"/>
    <w:rsid w:val="008A080C"/>
    <w:rsid w:val="008A0AB7"/>
    <w:rsid w:val="008A0CC9"/>
    <w:rsid w:val="008A15D3"/>
    <w:rsid w:val="008A1DDB"/>
    <w:rsid w:val="008A221B"/>
    <w:rsid w:val="008A4773"/>
    <w:rsid w:val="008A73A7"/>
    <w:rsid w:val="008B015F"/>
    <w:rsid w:val="008B10D1"/>
    <w:rsid w:val="008B1F6A"/>
    <w:rsid w:val="008B45E2"/>
    <w:rsid w:val="008B46B8"/>
    <w:rsid w:val="008B59A7"/>
    <w:rsid w:val="008B59E4"/>
    <w:rsid w:val="008B5C4E"/>
    <w:rsid w:val="008B69E5"/>
    <w:rsid w:val="008B6B8F"/>
    <w:rsid w:val="008B748C"/>
    <w:rsid w:val="008C06AC"/>
    <w:rsid w:val="008C180C"/>
    <w:rsid w:val="008C1D60"/>
    <w:rsid w:val="008C26AF"/>
    <w:rsid w:val="008C3ADA"/>
    <w:rsid w:val="008C3D0C"/>
    <w:rsid w:val="008C3D7A"/>
    <w:rsid w:val="008C49BB"/>
    <w:rsid w:val="008C5222"/>
    <w:rsid w:val="008C5D70"/>
    <w:rsid w:val="008C6A7A"/>
    <w:rsid w:val="008D2388"/>
    <w:rsid w:val="008D28E1"/>
    <w:rsid w:val="008D3CAC"/>
    <w:rsid w:val="008D43B0"/>
    <w:rsid w:val="008D4613"/>
    <w:rsid w:val="008D46D9"/>
    <w:rsid w:val="008E159D"/>
    <w:rsid w:val="008E18AD"/>
    <w:rsid w:val="008E2B6E"/>
    <w:rsid w:val="008E3D47"/>
    <w:rsid w:val="008E4377"/>
    <w:rsid w:val="008E4B39"/>
    <w:rsid w:val="008E50AF"/>
    <w:rsid w:val="008E7A7B"/>
    <w:rsid w:val="008E7E3B"/>
    <w:rsid w:val="008F107D"/>
    <w:rsid w:val="008F4142"/>
    <w:rsid w:val="00904E4C"/>
    <w:rsid w:val="009061E6"/>
    <w:rsid w:val="00906B34"/>
    <w:rsid w:val="00907C4A"/>
    <w:rsid w:val="009101AF"/>
    <w:rsid w:val="0091072F"/>
    <w:rsid w:val="00911CE5"/>
    <w:rsid w:val="00913872"/>
    <w:rsid w:val="00915227"/>
    <w:rsid w:val="00917196"/>
    <w:rsid w:val="00920331"/>
    <w:rsid w:val="00920631"/>
    <w:rsid w:val="009207BE"/>
    <w:rsid w:val="009235B9"/>
    <w:rsid w:val="00926F9E"/>
    <w:rsid w:val="0093049B"/>
    <w:rsid w:val="00933C92"/>
    <w:rsid w:val="0093632B"/>
    <w:rsid w:val="00936F03"/>
    <w:rsid w:val="00941F0D"/>
    <w:rsid w:val="009423C6"/>
    <w:rsid w:val="00942A1B"/>
    <w:rsid w:val="009432A3"/>
    <w:rsid w:val="009440BA"/>
    <w:rsid w:val="009442CC"/>
    <w:rsid w:val="00944594"/>
    <w:rsid w:val="00945FF3"/>
    <w:rsid w:val="0094605D"/>
    <w:rsid w:val="009467FF"/>
    <w:rsid w:val="009507DF"/>
    <w:rsid w:val="0095098B"/>
    <w:rsid w:val="0095230C"/>
    <w:rsid w:val="00954989"/>
    <w:rsid w:val="00954A27"/>
    <w:rsid w:val="00960E44"/>
    <w:rsid w:val="009618E2"/>
    <w:rsid w:val="009628DA"/>
    <w:rsid w:val="00962EDA"/>
    <w:rsid w:val="0096510C"/>
    <w:rsid w:val="00966D68"/>
    <w:rsid w:val="00967AA4"/>
    <w:rsid w:val="00967DC7"/>
    <w:rsid w:val="009716A1"/>
    <w:rsid w:val="009721E5"/>
    <w:rsid w:val="00974A27"/>
    <w:rsid w:val="009771A7"/>
    <w:rsid w:val="009774A2"/>
    <w:rsid w:val="009803A1"/>
    <w:rsid w:val="00980464"/>
    <w:rsid w:val="00981FAE"/>
    <w:rsid w:val="00983D82"/>
    <w:rsid w:val="00984EEC"/>
    <w:rsid w:val="00984F90"/>
    <w:rsid w:val="00985D98"/>
    <w:rsid w:val="0098614C"/>
    <w:rsid w:val="00986C1D"/>
    <w:rsid w:val="0098779D"/>
    <w:rsid w:val="009906CB"/>
    <w:rsid w:val="009908FE"/>
    <w:rsid w:val="00990B2F"/>
    <w:rsid w:val="0099189C"/>
    <w:rsid w:val="0099358A"/>
    <w:rsid w:val="00994DEA"/>
    <w:rsid w:val="00994DEF"/>
    <w:rsid w:val="00996EDC"/>
    <w:rsid w:val="009979C6"/>
    <w:rsid w:val="009A27B9"/>
    <w:rsid w:val="009A2A8B"/>
    <w:rsid w:val="009A330F"/>
    <w:rsid w:val="009A4BE4"/>
    <w:rsid w:val="009A506D"/>
    <w:rsid w:val="009A5BEA"/>
    <w:rsid w:val="009A65D7"/>
    <w:rsid w:val="009A6B6D"/>
    <w:rsid w:val="009A7292"/>
    <w:rsid w:val="009B0AB4"/>
    <w:rsid w:val="009B0FD7"/>
    <w:rsid w:val="009B17CA"/>
    <w:rsid w:val="009B2AA8"/>
    <w:rsid w:val="009B5D5A"/>
    <w:rsid w:val="009B7244"/>
    <w:rsid w:val="009B7558"/>
    <w:rsid w:val="009B7F82"/>
    <w:rsid w:val="009C0403"/>
    <w:rsid w:val="009C0B6E"/>
    <w:rsid w:val="009C0C62"/>
    <w:rsid w:val="009C1E05"/>
    <w:rsid w:val="009C3D7C"/>
    <w:rsid w:val="009C4E82"/>
    <w:rsid w:val="009C549C"/>
    <w:rsid w:val="009C6A3A"/>
    <w:rsid w:val="009C761D"/>
    <w:rsid w:val="009C7B78"/>
    <w:rsid w:val="009D33A8"/>
    <w:rsid w:val="009D3F36"/>
    <w:rsid w:val="009D513B"/>
    <w:rsid w:val="009D6CD1"/>
    <w:rsid w:val="009D7198"/>
    <w:rsid w:val="009E0CED"/>
    <w:rsid w:val="009E147F"/>
    <w:rsid w:val="009E1717"/>
    <w:rsid w:val="009E41B4"/>
    <w:rsid w:val="009E4AF2"/>
    <w:rsid w:val="009E580C"/>
    <w:rsid w:val="009E60E7"/>
    <w:rsid w:val="009E6DD8"/>
    <w:rsid w:val="009E7C0C"/>
    <w:rsid w:val="009F0550"/>
    <w:rsid w:val="009F1E22"/>
    <w:rsid w:val="009F2B34"/>
    <w:rsid w:val="009F2B4E"/>
    <w:rsid w:val="009F43F7"/>
    <w:rsid w:val="009F47E1"/>
    <w:rsid w:val="009F5479"/>
    <w:rsid w:val="009F5C36"/>
    <w:rsid w:val="009F63E9"/>
    <w:rsid w:val="009F65E3"/>
    <w:rsid w:val="00A02D38"/>
    <w:rsid w:val="00A03158"/>
    <w:rsid w:val="00A0334C"/>
    <w:rsid w:val="00A05579"/>
    <w:rsid w:val="00A06535"/>
    <w:rsid w:val="00A069A1"/>
    <w:rsid w:val="00A100A0"/>
    <w:rsid w:val="00A12916"/>
    <w:rsid w:val="00A15000"/>
    <w:rsid w:val="00A15510"/>
    <w:rsid w:val="00A17A49"/>
    <w:rsid w:val="00A20ABA"/>
    <w:rsid w:val="00A226AF"/>
    <w:rsid w:val="00A25FF5"/>
    <w:rsid w:val="00A26620"/>
    <w:rsid w:val="00A266DE"/>
    <w:rsid w:val="00A26DF2"/>
    <w:rsid w:val="00A27773"/>
    <w:rsid w:val="00A30553"/>
    <w:rsid w:val="00A3291D"/>
    <w:rsid w:val="00A3380C"/>
    <w:rsid w:val="00A340B9"/>
    <w:rsid w:val="00A3621D"/>
    <w:rsid w:val="00A36638"/>
    <w:rsid w:val="00A37C73"/>
    <w:rsid w:val="00A4379C"/>
    <w:rsid w:val="00A44EC9"/>
    <w:rsid w:val="00A4590A"/>
    <w:rsid w:val="00A47972"/>
    <w:rsid w:val="00A52107"/>
    <w:rsid w:val="00A5241B"/>
    <w:rsid w:val="00A52467"/>
    <w:rsid w:val="00A532A0"/>
    <w:rsid w:val="00A55123"/>
    <w:rsid w:val="00A552C4"/>
    <w:rsid w:val="00A55B78"/>
    <w:rsid w:val="00A577BF"/>
    <w:rsid w:val="00A57EB0"/>
    <w:rsid w:val="00A60021"/>
    <w:rsid w:val="00A601CC"/>
    <w:rsid w:val="00A614C8"/>
    <w:rsid w:val="00A61C05"/>
    <w:rsid w:val="00A61F06"/>
    <w:rsid w:val="00A647BE"/>
    <w:rsid w:val="00A65F9B"/>
    <w:rsid w:val="00A6634C"/>
    <w:rsid w:val="00A702BB"/>
    <w:rsid w:val="00A708FA"/>
    <w:rsid w:val="00A70BE2"/>
    <w:rsid w:val="00A7224C"/>
    <w:rsid w:val="00A72AB2"/>
    <w:rsid w:val="00A735FB"/>
    <w:rsid w:val="00A75027"/>
    <w:rsid w:val="00A75523"/>
    <w:rsid w:val="00A75D0D"/>
    <w:rsid w:val="00A77124"/>
    <w:rsid w:val="00A81777"/>
    <w:rsid w:val="00A84DA4"/>
    <w:rsid w:val="00A86145"/>
    <w:rsid w:val="00A8626E"/>
    <w:rsid w:val="00A868A0"/>
    <w:rsid w:val="00A87B28"/>
    <w:rsid w:val="00A87C7F"/>
    <w:rsid w:val="00A9061D"/>
    <w:rsid w:val="00A9079D"/>
    <w:rsid w:val="00A90A0E"/>
    <w:rsid w:val="00A91C17"/>
    <w:rsid w:val="00A94659"/>
    <w:rsid w:val="00A96939"/>
    <w:rsid w:val="00A97F45"/>
    <w:rsid w:val="00AA16B7"/>
    <w:rsid w:val="00AA2F1F"/>
    <w:rsid w:val="00AA3B34"/>
    <w:rsid w:val="00AA412C"/>
    <w:rsid w:val="00AA4298"/>
    <w:rsid w:val="00AA4711"/>
    <w:rsid w:val="00AA679F"/>
    <w:rsid w:val="00AA68FC"/>
    <w:rsid w:val="00AB084B"/>
    <w:rsid w:val="00AB09C7"/>
    <w:rsid w:val="00AB13FC"/>
    <w:rsid w:val="00AB4137"/>
    <w:rsid w:val="00AB507D"/>
    <w:rsid w:val="00AB6A5B"/>
    <w:rsid w:val="00AC0DCA"/>
    <w:rsid w:val="00AC2F34"/>
    <w:rsid w:val="00AC559D"/>
    <w:rsid w:val="00AC631A"/>
    <w:rsid w:val="00AC688E"/>
    <w:rsid w:val="00AC70E7"/>
    <w:rsid w:val="00AD064B"/>
    <w:rsid w:val="00AD1984"/>
    <w:rsid w:val="00AD3D43"/>
    <w:rsid w:val="00AD403A"/>
    <w:rsid w:val="00AD45D2"/>
    <w:rsid w:val="00AD4B9A"/>
    <w:rsid w:val="00AD55ED"/>
    <w:rsid w:val="00AD6884"/>
    <w:rsid w:val="00AD7563"/>
    <w:rsid w:val="00AE0144"/>
    <w:rsid w:val="00AE1378"/>
    <w:rsid w:val="00AE140B"/>
    <w:rsid w:val="00AE293E"/>
    <w:rsid w:val="00AE2D24"/>
    <w:rsid w:val="00AE30F8"/>
    <w:rsid w:val="00AE400D"/>
    <w:rsid w:val="00AE4019"/>
    <w:rsid w:val="00AE4565"/>
    <w:rsid w:val="00AE6299"/>
    <w:rsid w:val="00AE748D"/>
    <w:rsid w:val="00AF04C0"/>
    <w:rsid w:val="00AF0745"/>
    <w:rsid w:val="00AF2483"/>
    <w:rsid w:val="00AF2569"/>
    <w:rsid w:val="00AF4365"/>
    <w:rsid w:val="00AF4492"/>
    <w:rsid w:val="00AF6650"/>
    <w:rsid w:val="00AF67C9"/>
    <w:rsid w:val="00AF7004"/>
    <w:rsid w:val="00AF7717"/>
    <w:rsid w:val="00B0127E"/>
    <w:rsid w:val="00B01C2E"/>
    <w:rsid w:val="00B03453"/>
    <w:rsid w:val="00B03C86"/>
    <w:rsid w:val="00B03E72"/>
    <w:rsid w:val="00B03FBB"/>
    <w:rsid w:val="00B07CA4"/>
    <w:rsid w:val="00B10975"/>
    <w:rsid w:val="00B123F2"/>
    <w:rsid w:val="00B12A2F"/>
    <w:rsid w:val="00B1435F"/>
    <w:rsid w:val="00B21406"/>
    <w:rsid w:val="00B21A82"/>
    <w:rsid w:val="00B21CF1"/>
    <w:rsid w:val="00B21D5E"/>
    <w:rsid w:val="00B2223B"/>
    <w:rsid w:val="00B2385C"/>
    <w:rsid w:val="00B246E7"/>
    <w:rsid w:val="00B27FE7"/>
    <w:rsid w:val="00B30A3D"/>
    <w:rsid w:val="00B30BC5"/>
    <w:rsid w:val="00B322CE"/>
    <w:rsid w:val="00B32DBB"/>
    <w:rsid w:val="00B33054"/>
    <w:rsid w:val="00B333BB"/>
    <w:rsid w:val="00B345DF"/>
    <w:rsid w:val="00B379BA"/>
    <w:rsid w:val="00B41512"/>
    <w:rsid w:val="00B41586"/>
    <w:rsid w:val="00B42461"/>
    <w:rsid w:val="00B425B6"/>
    <w:rsid w:val="00B43BFE"/>
    <w:rsid w:val="00B445B2"/>
    <w:rsid w:val="00B4477D"/>
    <w:rsid w:val="00B51498"/>
    <w:rsid w:val="00B51770"/>
    <w:rsid w:val="00B51A81"/>
    <w:rsid w:val="00B51F32"/>
    <w:rsid w:val="00B5322B"/>
    <w:rsid w:val="00B5381F"/>
    <w:rsid w:val="00B549BB"/>
    <w:rsid w:val="00B5533D"/>
    <w:rsid w:val="00B55A05"/>
    <w:rsid w:val="00B5689D"/>
    <w:rsid w:val="00B56B3F"/>
    <w:rsid w:val="00B613F7"/>
    <w:rsid w:val="00B61598"/>
    <w:rsid w:val="00B618CE"/>
    <w:rsid w:val="00B61DE0"/>
    <w:rsid w:val="00B62522"/>
    <w:rsid w:val="00B63B41"/>
    <w:rsid w:val="00B63E76"/>
    <w:rsid w:val="00B64504"/>
    <w:rsid w:val="00B66432"/>
    <w:rsid w:val="00B669F7"/>
    <w:rsid w:val="00B704F0"/>
    <w:rsid w:val="00B7091C"/>
    <w:rsid w:val="00B70976"/>
    <w:rsid w:val="00B7100C"/>
    <w:rsid w:val="00B734E6"/>
    <w:rsid w:val="00B73AB8"/>
    <w:rsid w:val="00B74246"/>
    <w:rsid w:val="00B743F9"/>
    <w:rsid w:val="00B756F8"/>
    <w:rsid w:val="00B76DD5"/>
    <w:rsid w:val="00B80844"/>
    <w:rsid w:val="00B828B7"/>
    <w:rsid w:val="00B83121"/>
    <w:rsid w:val="00B832B7"/>
    <w:rsid w:val="00B83DF8"/>
    <w:rsid w:val="00B83EDC"/>
    <w:rsid w:val="00B84411"/>
    <w:rsid w:val="00B850B1"/>
    <w:rsid w:val="00B853FB"/>
    <w:rsid w:val="00B866CA"/>
    <w:rsid w:val="00B86B0D"/>
    <w:rsid w:val="00B86C1C"/>
    <w:rsid w:val="00B870DC"/>
    <w:rsid w:val="00B87720"/>
    <w:rsid w:val="00B87969"/>
    <w:rsid w:val="00B900E1"/>
    <w:rsid w:val="00B91893"/>
    <w:rsid w:val="00B91A44"/>
    <w:rsid w:val="00B92832"/>
    <w:rsid w:val="00B9294D"/>
    <w:rsid w:val="00B92BBC"/>
    <w:rsid w:val="00B93391"/>
    <w:rsid w:val="00B94535"/>
    <w:rsid w:val="00B94AA1"/>
    <w:rsid w:val="00B95745"/>
    <w:rsid w:val="00B957D4"/>
    <w:rsid w:val="00B968FB"/>
    <w:rsid w:val="00BA0A10"/>
    <w:rsid w:val="00BA0FC3"/>
    <w:rsid w:val="00BA24DA"/>
    <w:rsid w:val="00BA36AA"/>
    <w:rsid w:val="00BA3A2B"/>
    <w:rsid w:val="00BA3CFF"/>
    <w:rsid w:val="00BA5514"/>
    <w:rsid w:val="00BB01B3"/>
    <w:rsid w:val="00BB0AC8"/>
    <w:rsid w:val="00BB11A2"/>
    <w:rsid w:val="00BB1355"/>
    <w:rsid w:val="00BB2762"/>
    <w:rsid w:val="00BB2F6F"/>
    <w:rsid w:val="00BB38AF"/>
    <w:rsid w:val="00BB3ED7"/>
    <w:rsid w:val="00BB42D3"/>
    <w:rsid w:val="00BB4CFB"/>
    <w:rsid w:val="00BB7BFB"/>
    <w:rsid w:val="00BB7E26"/>
    <w:rsid w:val="00BC00F9"/>
    <w:rsid w:val="00BC0AAA"/>
    <w:rsid w:val="00BC1DC0"/>
    <w:rsid w:val="00BC24CA"/>
    <w:rsid w:val="00BC3894"/>
    <w:rsid w:val="00BC3D6D"/>
    <w:rsid w:val="00BC43D9"/>
    <w:rsid w:val="00BC50D8"/>
    <w:rsid w:val="00BC6917"/>
    <w:rsid w:val="00BD0B3C"/>
    <w:rsid w:val="00BD1D1C"/>
    <w:rsid w:val="00BD26B2"/>
    <w:rsid w:val="00BD2C4D"/>
    <w:rsid w:val="00BD3A32"/>
    <w:rsid w:val="00BD465C"/>
    <w:rsid w:val="00BD4C61"/>
    <w:rsid w:val="00BD5427"/>
    <w:rsid w:val="00BD54D4"/>
    <w:rsid w:val="00BD6025"/>
    <w:rsid w:val="00BD75F6"/>
    <w:rsid w:val="00BE008E"/>
    <w:rsid w:val="00BE2DE2"/>
    <w:rsid w:val="00BE45A7"/>
    <w:rsid w:val="00BE4B9E"/>
    <w:rsid w:val="00BE7BF2"/>
    <w:rsid w:val="00BE7BF4"/>
    <w:rsid w:val="00BF09BB"/>
    <w:rsid w:val="00BF326F"/>
    <w:rsid w:val="00BF403B"/>
    <w:rsid w:val="00BF4D2D"/>
    <w:rsid w:val="00BF50AE"/>
    <w:rsid w:val="00BF5271"/>
    <w:rsid w:val="00BF6300"/>
    <w:rsid w:val="00BF6389"/>
    <w:rsid w:val="00C00808"/>
    <w:rsid w:val="00C0119A"/>
    <w:rsid w:val="00C043C0"/>
    <w:rsid w:val="00C05622"/>
    <w:rsid w:val="00C061EA"/>
    <w:rsid w:val="00C07570"/>
    <w:rsid w:val="00C11790"/>
    <w:rsid w:val="00C117CA"/>
    <w:rsid w:val="00C12B57"/>
    <w:rsid w:val="00C16057"/>
    <w:rsid w:val="00C17FBE"/>
    <w:rsid w:val="00C17FE4"/>
    <w:rsid w:val="00C20F55"/>
    <w:rsid w:val="00C20FC2"/>
    <w:rsid w:val="00C23881"/>
    <w:rsid w:val="00C26242"/>
    <w:rsid w:val="00C27FB3"/>
    <w:rsid w:val="00C30FA7"/>
    <w:rsid w:val="00C31095"/>
    <w:rsid w:val="00C32680"/>
    <w:rsid w:val="00C3526C"/>
    <w:rsid w:val="00C35930"/>
    <w:rsid w:val="00C35D3F"/>
    <w:rsid w:val="00C3799A"/>
    <w:rsid w:val="00C41653"/>
    <w:rsid w:val="00C41B20"/>
    <w:rsid w:val="00C41C0C"/>
    <w:rsid w:val="00C41CD3"/>
    <w:rsid w:val="00C42BAB"/>
    <w:rsid w:val="00C44C01"/>
    <w:rsid w:val="00C4536E"/>
    <w:rsid w:val="00C459D4"/>
    <w:rsid w:val="00C45E9B"/>
    <w:rsid w:val="00C465F7"/>
    <w:rsid w:val="00C466CF"/>
    <w:rsid w:val="00C47E84"/>
    <w:rsid w:val="00C510CC"/>
    <w:rsid w:val="00C51F64"/>
    <w:rsid w:val="00C525EB"/>
    <w:rsid w:val="00C5307E"/>
    <w:rsid w:val="00C577A5"/>
    <w:rsid w:val="00C577FF"/>
    <w:rsid w:val="00C57927"/>
    <w:rsid w:val="00C631BE"/>
    <w:rsid w:val="00C676A6"/>
    <w:rsid w:val="00C678AC"/>
    <w:rsid w:val="00C71175"/>
    <w:rsid w:val="00C711C6"/>
    <w:rsid w:val="00C71DF5"/>
    <w:rsid w:val="00C72125"/>
    <w:rsid w:val="00C72F5C"/>
    <w:rsid w:val="00C72F5F"/>
    <w:rsid w:val="00C74BD5"/>
    <w:rsid w:val="00C76725"/>
    <w:rsid w:val="00C7698F"/>
    <w:rsid w:val="00C77DC0"/>
    <w:rsid w:val="00C83D51"/>
    <w:rsid w:val="00C850A4"/>
    <w:rsid w:val="00C8681B"/>
    <w:rsid w:val="00C86B0C"/>
    <w:rsid w:val="00C8784A"/>
    <w:rsid w:val="00C87CBB"/>
    <w:rsid w:val="00C908E6"/>
    <w:rsid w:val="00C90CB2"/>
    <w:rsid w:val="00C90D5F"/>
    <w:rsid w:val="00C91B83"/>
    <w:rsid w:val="00C91D2B"/>
    <w:rsid w:val="00C9316E"/>
    <w:rsid w:val="00C93E35"/>
    <w:rsid w:val="00C957EE"/>
    <w:rsid w:val="00C962A7"/>
    <w:rsid w:val="00C97435"/>
    <w:rsid w:val="00C9778B"/>
    <w:rsid w:val="00CA02FB"/>
    <w:rsid w:val="00CA10E9"/>
    <w:rsid w:val="00CA1C42"/>
    <w:rsid w:val="00CA47CD"/>
    <w:rsid w:val="00CA760D"/>
    <w:rsid w:val="00CB2129"/>
    <w:rsid w:val="00CB3AC4"/>
    <w:rsid w:val="00CB5FA2"/>
    <w:rsid w:val="00CB6E3E"/>
    <w:rsid w:val="00CB70FD"/>
    <w:rsid w:val="00CB7213"/>
    <w:rsid w:val="00CC15B3"/>
    <w:rsid w:val="00CC1A12"/>
    <w:rsid w:val="00CC2C1B"/>
    <w:rsid w:val="00CC31E4"/>
    <w:rsid w:val="00CC467C"/>
    <w:rsid w:val="00CC594A"/>
    <w:rsid w:val="00CC665F"/>
    <w:rsid w:val="00CC6E87"/>
    <w:rsid w:val="00CC78A1"/>
    <w:rsid w:val="00CD055B"/>
    <w:rsid w:val="00CD2645"/>
    <w:rsid w:val="00CD32DA"/>
    <w:rsid w:val="00CD4782"/>
    <w:rsid w:val="00CD4FC0"/>
    <w:rsid w:val="00CD5D44"/>
    <w:rsid w:val="00CD74F9"/>
    <w:rsid w:val="00CD7CB5"/>
    <w:rsid w:val="00CE0665"/>
    <w:rsid w:val="00CE0896"/>
    <w:rsid w:val="00CE1975"/>
    <w:rsid w:val="00CE325E"/>
    <w:rsid w:val="00CE355A"/>
    <w:rsid w:val="00CE4626"/>
    <w:rsid w:val="00CE635C"/>
    <w:rsid w:val="00CE6D2B"/>
    <w:rsid w:val="00CE6E58"/>
    <w:rsid w:val="00CE6F44"/>
    <w:rsid w:val="00CF0397"/>
    <w:rsid w:val="00CF1F39"/>
    <w:rsid w:val="00CF3080"/>
    <w:rsid w:val="00CF3EF7"/>
    <w:rsid w:val="00CF49B4"/>
    <w:rsid w:val="00CF508B"/>
    <w:rsid w:val="00CF6A67"/>
    <w:rsid w:val="00CF6BD6"/>
    <w:rsid w:val="00D007E9"/>
    <w:rsid w:val="00D023B5"/>
    <w:rsid w:val="00D02856"/>
    <w:rsid w:val="00D03D70"/>
    <w:rsid w:val="00D04861"/>
    <w:rsid w:val="00D05B6B"/>
    <w:rsid w:val="00D069E1"/>
    <w:rsid w:val="00D069FD"/>
    <w:rsid w:val="00D07A9D"/>
    <w:rsid w:val="00D1066A"/>
    <w:rsid w:val="00D11F81"/>
    <w:rsid w:val="00D12A66"/>
    <w:rsid w:val="00D1340F"/>
    <w:rsid w:val="00D13D32"/>
    <w:rsid w:val="00D14631"/>
    <w:rsid w:val="00D16BBC"/>
    <w:rsid w:val="00D17C02"/>
    <w:rsid w:val="00D20974"/>
    <w:rsid w:val="00D2149F"/>
    <w:rsid w:val="00D219A5"/>
    <w:rsid w:val="00D21E20"/>
    <w:rsid w:val="00D2307D"/>
    <w:rsid w:val="00D240AD"/>
    <w:rsid w:val="00D2628E"/>
    <w:rsid w:val="00D26324"/>
    <w:rsid w:val="00D279D3"/>
    <w:rsid w:val="00D30472"/>
    <w:rsid w:val="00D328FC"/>
    <w:rsid w:val="00D359D4"/>
    <w:rsid w:val="00D36CE6"/>
    <w:rsid w:val="00D4231C"/>
    <w:rsid w:val="00D43A1C"/>
    <w:rsid w:val="00D45AD9"/>
    <w:rsid w:val="00D45F9E"/>
    <w:rsid w:val="00D46796"/>
    <w:rsid w:val="00D46833"/>
    <w:rsid w:val="00D46E50"/>
    <w:rsid w:val="00D46F2E"/>
    <w:rsid w:val="00D479F7"/>
    <w:rsid w:val="00D47BF6"/>
    <w:rsid w:val="00D5022B"/>
    <w:rsid w:val="00D52BA0"/>
    <w:rsid w:val="00D53664"/>
    <w:rsid w:val="00D54E90"/>
    <w:rsid w:val="00D55049"/>
    <w:rsid w:val="00D5693E"/>
    <w:rsid w:val="00D60FD5"/>
    <w:rsid w:val="00D62E87"/>
    <w:rsid w:val="00D63E88"/>
    <w:rsid w:val="00D67DC4"/>
    <w:rsid w:val="00D70E54"/>
    <w:rsid w:val="00D722AE"/>
    <w:rsid w:val="00D74961"/>
    <w:rsid w:val="00D758C0"/>
    <w:rsid w:val="00D77C5C"/>
    <w:rsid w:val="00D80072"/>
    <w:rsid w:val="00D819B2"/>
    <w:rsid w:val="00D831D2"/>
    <w:rsid w:val="00D8539D"/>
    <w:rsid w:val="00D85B26"/>
    <w:rsid w:val="00D8627C"/>
    <w:rsid w:val="00D862FC"/>
    <w:rsid w:val="00D878C6"/>
    <w:rsid w:val="00D905B2"/>
    <w:rsid w:val="00D910DE"/>
    <w:rsid w:val="00D916B9"/>
    <w:rsid w:val="00D91874"/>
    <w:rsid w:val="00D92DE7"/>
    <w:rsid w:val="00D934A4"/>
    <w:rsid w:val="00D94E34"/>
    <w:rsid w:val="00D95A7D"/>
    <w:rsid w:val="00D96334"/>
    <w:rsid w:val="00D97E11"/>
    <w:rsid w:val="00DA1152"/>
    <w:rsid w:val="00DA1F25"/>
    <w:rsid w:val="00DA2E4F"/>
    <w:rsid w:val="00DA3547"/>
    <w:rsid w:val="00DA3868"/>
    <w:rsid w:val="00DA3A5B"/>
    <w:rsid w:val="00DA4BBD"/>
    <w:rsid w:val="00DA4BE2"/>
    <w:rsid w:val="00DB0377"/>
    <w:rsid w:val="00DB07F7"/>
    <w:rsid w:val="00DB24C3"/>
    <w:rsid w:val="00DB2F85"/>
    <w:rsid w:val="00DB49BE"/>
    <w:rsid w:val="00DB546C"/>
    <w:rsid w:val="00DB5904"/>
    <w:rsid w:val="00DB6BD2"/>
    <w:rsid w:val="00DB74A5"/>
    <w:rsid w:val="00DB7EF9"/>
    <w:rsid w:val="00DC069B"/>
    <w:rsid w:val="00DC0A20"/>
    <w:rsid w:val="00DC0AD2"/>
    <w:rsid w:val="00DC0B40"/>
    <w:rsid w:val="00DC353D"/>
    <w:rsid w:val="00DC44BA"/>
    <w:rsid w:val="00DC4AEB"/>
    <w:rsid w:val="00DC5F97"/>
    <w:rsid w:val="00DC7B64"/>
    <w:rsid w:val="00DD074D"/>
    <w:rsid w:val="00DD1603"/>
    <w:rsid w:val="00DD163D"/>
    <w:rsid w:val="00DD1C01"/>
    <w:rsid w:val="00DD4395"/>
    <w:rsid w:val="00DD6C94"/>
    <w:rsid w:val="00DE12A9"/>
    <w:rsid w:val="00DE3512"/>
    <w:rsid w:val="00DE3594"/>
    <w:rsid w:val="00DE3FEC"/>
    <w:rsid w:val="00DE4AB0"/>
    <w:rsid w:val="00DE5DF0"/>
    <w:rsid w:val="00DE6D6C"/>
    <w:rsid w:val="00DE6DFF"/>
    <w:rsid w:val="00DE70E5"/>
    <w:rsid w:val="00DE7A83"/>
    <w:rsid w:val="00DF1DD9"/>
    <w:rsid w:val="00DF1F04"/>
    <w:rsid w:val="00DF2D8D"/>
    <w:rsid w:val="00DF4534"/>
    <w:rsid w:val="00DF5A36"/>
    <w:rsid w:val="00DF6BEB"/>
    <w:rsid w:val="00DF7009"/>
    <w:rsid w:val="00E00F81"/>
    <w:rsid w:val="00E013C7"/>
    <w:rsid w:val="00E020E1"/>
    <w:rsid w:val="00E02303"/>
    <w:rsid w:val="00E03C80"/>
    <w:rsid w:val="00E041BF"/>
    <w:rsid w:val="00E052D9"/>
    <w:rsid w:val="00E063D5"/>
    <w:rsid w:val="00E068FD"/>
    <w:rsid w:val="00E07B3A"/>
    <w:rsid w:val="00E10187"/>
    <w:rsid w:val="00E10FF9"/>
    <w:rsid w:val="00E11C82"/>
    <w:rsid w:val="00E15BA2"/>
    <w:rsid w:val="00E15C06"/>
    <w:rsid w:val="00E15D58"/>
    <w:rsid w:val="00E1799F"/>
    <w:rsid w:val="00E17AC9"/>
    <w:rsid w:val="00E20458"/>
    <w:rsid w:val="00E20876"/>
    <w:rsid w:val="00E21195"/>
    <w:rsid w:val="00E24327"/>
    <w:rsid w:val="00E24949"/>
    <w:rsid w:val="00E26D0E"/>
    <w:rsid w:val="00E27931"/>
    <w:rsid w:val="00E27988"/>
    <w:rsid w:val="00E27C23"/>
    <w:rsid w:val="00E307E5"/>
    <w:rsid w:val="00E31E84"/>
    <w:rsid w:val="00E37702"/>
    <w:rsid w:val="00E412E9"/>
    <w:rsid w:val="00E415AC"/>
    <w:rsid w:val="00E43B22"/>
    <w:rsid w:val="00E46312"/>
    <w:rsid w:val="00E47688"/>
    <w:rsid w:val="00E47E37"/>
    <w:rsid w:val="00E51BD2"/>
    <w:rsid w:val="00E51C11"/>
    <w:rsid w:val="00E52B83"/>
    <w:rsid w:val="00E5371B"/>
    <w:rsid w:val="00E54FBF"/>
    <w:rsid w:val="00E55017"/>
    <w:rsid w:val="00E557CE"/>
    <w:rsid w:val="00E5656F"/>
    <w:rsid w:val="00E566E9"/>
    <w:rsid w:val="00E56964"/>
    <w:rsid w:val="00E60F8C"/>
    <w:rsid w:val="00E639BC"/>
    <w:rsid w:val="00E63F5A"/>
    <w:rsid w:val="00E64D45"/>
    <w:rsid w:val="00E64E0C"/>
    <w:rsid w:val="00E653D6"/>
    <w:rsid w:val="00E65850"/>
    <w:rsid w:val="00E661E3"/>
    <w:rsid w:val="00E67372"/>
    <w:rsid w:val="00E70168"/>
    <w:rsid w:val="00E70B98"/>
    <w:rsid w:val="00E7248F"/>
    <w:rsid w:val="00E72B59"/>
    <w:rsid w:val="00E72C0F"/>
    <w:rsid w:val="00E7526D"/>
    <w:rsid w:val="00E75F47"/>
    <w:rsid w:val="00E7690A"/>
    <w:rsid w:val="00E80F80"/>
    <w:rsid w:val="00E842D5"/>
    <w:rsid w:val="00E849BD"/>
    <w:rsid w:val="00E84F91"/>
    <w:rsid w:val="00E85BD3"/>
    <w:rsid w:val="00E85E5E"/>
    <w:rsid w:val="00E86C94"/>
    <w:rsid w:val="00E91613"/>
    <w:rsid w:val="00E91D8A"/>
    <w:rsid w:val="00E91F61"/>
    <w:rsid w:val="00E93A2E"/>
    <w:rsid w:val="00E9752A"/>
    <w:rsid w:val="00E97E48"/>
    <w:rsid w:val="00EA250A"/>
    <w:rsid w:val="00EA307D"/>
    <w:rsid w:val="00EA36C7"/>
    <w:rsid w:val="00EA4005"/>
    <w:rsid w:val="00EA555A"/>
    <w:rsid w:val="00EA56D0"/>
    <w:rsid w:val="00EB23FA"/>
    <w:rsid w:val="00EB4AF5"/>
    <w:rsid w:val="00EB53ED"/>
    <w:rsid w:val="00EB6122"/>
    <w:rsid w:val="00EB6F0F"/>
    <w:rsid w:val="00EC18F5"/>
    <w:rsid w:val="00EC5C66"/>
    <w:rsid w:val="00EC6EE9"/>
    <w:rsid w:val="00EC71DE"/>
    <w:rsid w:val="00ED16DE"/>
    <w:rsid w:val="00ED26B7"/>
    <w:rsid w:val="00ED2D4E"/>
    <w:rsid w:val="00ED56BA"/>
    <w:rsid w:val="00ED5BF4"/>
    <w:rsid w:val="00EE12A6"/>
    <w:rsid w:val="00EE2B15"/>
    <w:rsid w:val="00EE3E41"/>
    <w:rsid w:val="00EE4589"/>
    <w:rsid w:val="00EE73E6"/>
    <w:rsid w:val="00EF073C"/>
    <w:rsid w:val="00EF1D61"/>
    <w:rsid w:val="00EF2253"/>
    <w:rsid w:val="00EF399C"/>
    <w:rsid w:val="00EF4ADB"/>
    <w:rsid w:val="00EF5984"/>
    <w:rsid w:val="00EF6DFB"/>
    <w:rsid w:val="00F00089"/>
    <w:rsid w:val="00F003E7"/>
    <w:rsid w:val="00F02FBC"/>
    <w:rsid w:val="00F045DE"/>
    <w:rsid w:val="00F057C1"/>
    <w:rsid w:val="00F0689B"/>
    <w:rsid w:val="00F07BC4"/>
    <w:rsid w:val="00F07F11"/>
    <w:rsid w:val="00F137D9"/>
    <w:rsid w:val="00F13DEC"/>
    <w:rsid w:val="00F1488A"/>
    <w:rsid w:val="00F14F31"/>
    <w:rsid w:val="00F16839"/>
    <w:rsid w:val="00F17437"/>
    <w:rsid w:val="00F17D96"/>
    <w:rsid w:val="00F2210B"/>
    <w:rsid w:val="00F227DC"/>
    <w:rsid w:val="00F25871"/>
    <w:rsid w:val="00F274B9"/>
    <w:rsid w:val="00F27B51"/>
    <w:rsid w:val="00F309D4"/>
    <w:rsid w:val="00F32428"/>
    <w:rsid w:val="00F326A9"/>
    <w:rsid w:val="00F335CC"/>
    <w:rsid w:val="00F34B67"/>
    <w:rsid w:val="00F34F9B"/>
    <w:rsid w:val="00F3523A"/>
    <w:rsid w:val="00F35ED3"/>
    <w:rsid w:val="00F37D75"/>
    <w:rsid w:val="00F42265"/>
    <w:rsid w:val="00F42F98"/>
    <w:rsid w:val="00F43B64"/>
    <w:rsid w:val="00F459BC"/>
    <w:rsid w:val="00F45AAE"/>
    <w:rsid w:val="00F4658D"/>
    <w:rsid w:val="00F46CE1"/>
    <w:rsid w:val="00F50722"/>
    <w:rsid w:val="00F50C82"/>
    <w:rsid w:val="00F519A3"/>
    <w:rsid w:val="00F51D35"/>
    <w:rsid w:val="00F51E80"/>
    <w:rsid w:val="00F5336D"/>
    <w:rsid w:val="00F53F6B"/>
    <w:rsid w:val="00F544D6"/>
    <w:rsid w:val="00F560CE"/>
    <w:rsid w:val="00F57C4C"/>
    <w:rsid w:val="00F62127"/>
    <w:rsid w:val="00F62B2E"/>
    <w:rsid w:val="00F62CD9"/>
    <w:rsid w:val="00F6595C"/>
    <w:rsid w:val="00F6678E"/>
    <w:rsid w:val="00F705DA"/>
    <w:rsid w:val="00F739F5"/>
    <w:rsid w:val="00F77BA5"/>
    <w:rsid w:val="00F77EA2"/>
    <w:rsid w:val="00F80C06"/>
    <w:rsid w:val="00F80E10"/>
    <w:rsid w:val="00F8216C"/>
    <w:rsid w:val="00F8513B"/>
    <w:rsid w:val="00F85190"/>
    <w:rsid w:val="00F8558E"/>
    <w:rsid w:val="00F85758"/>
    <w:rsid w:val="00F85DD0"/>
    <w:rsid w:val="00F90E44"/>
    <w:rsid w:val="00F91C0C"/>
    <w:rsid w:val="00F93C82"/>
    <w:rsid w:val="00F947C6"/>
    <w:rsid w:val="00F96CB5"/>
    <w:rsid w:val="00F97940"/>
    <w:rsid w:val="00FA050E"/>
    <w:rsid w:val="00FA17C3"/>
    <w:rsid w:val="00FA3E28"/>
    <w:rsid w:val="00FA60DA"/>
    <w:rsid w:val="00FA7A9B"/>
    <w:rsid w:val="00FB0DB0"/>
    <w:rsid w:val="00FB1801"/>
    <w:rsid w:val="00FB2117"/>
    <w:rsid w:val="00FB2156"/>
    <w:rsid w:val="00FB392B"/>
    <w:rsid w:val="00FB3967"/>
    <w:rsid w:val="00FB44EF"/>
    <w:rsid w:val="00FB4D3E"/>
    <w:rsid w:val="00FB546E"/>
    <w:rsid w:val="00FB592A"/>
    <w:rsid w:val="00FB5E75"/>
    <w:rsid w:val="00FB5E83"/>
    <w:rsid w:val="00FB60D5"/>
    <w:rsid w:val="00FB6542"/>
    <w:rsid w:val="00FB7167"/>
    <w:rsid w:val="00FB73AC"/>
    <w:rsid w:val="00FC03AA"/>
    <w:rsid w:val="00FC049B"/>
    <w:rsid w:val="00FC1AE9"/>
    <w:rsid w:val="00FC1EB6"/>
    <w:rsid w:val="00FC25F1"/>
    <w:rsid w:val="00FC34DE"/>
    <w:rsid w:val="00FC416B"/>
    <w:rsid w:val="00FC4D09"/>
    <w:rsid w:val="00FC6053"/>
    <w:rsid w:val="00FC6617"/>
    <w:rsid w:val="00FD03F7"/>
    <w:rsid w:val="00FD0D72"/>
    <w:rsid w:val="00FD2719"/>
    <w:rsid w:val="00FD32F4"/>
    <w:rsid w:val="00FD37C1"/>
    <w:rsid w:val="00FD5B36"/>
    <w:rsid w:val="00FD6E1A"/>
    <w:rsid w:val="00FD7098"/>
    <w:rsid w:val="00FE0498"/>
    <w:rsid w:val="00FE0AD0"/>
    <w:rsid w:val="00FE6B40"/>
    <w:rsid w:val="00FE6EC7"/>
    <w:rsid w:val="00FE7CEB"/>
    <w:rsid w:val="00FF1956"/>
    <w:rsid w:val="00FF1D34"/>
    <w:rsid w:val="00FF1DC0"/>
    <w:rsid w:val="00FF3622"/>
    <w:rsid w:val="00FF587B"/>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72BC0A"/>
  <w15:docId w15:val="{2E6DA5C8-0347-4DC1-895F-133CB3E9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00D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700DF"/>
    <w:rPr>
      <w:rFonts w:eastAsiaTheme="minorEastAsia"/>
      <w:lang w:eastAsia="ja-JP"/>
    </w:rPr>
  </w:style>
  <w:style w:type="paragraph" w:styleId="BalloonText">
    <w:name w:val="Balloon Text"/>
    <w:basedOn w:val="Normal"/>
    <w:link w:val="BalloonTextChar"/>
    <w:uiPriority w:val="99"/>
    <w:semiHidden/>
    <w:unhideWhenUsed/>
    <w:rsid w:val="007700DF"/>
    <w:rPr>
      <w:rFonts w:ascii="Tahoma" w:hAnsi="Tahoma" w:cs="Tahoma"/>
      <w:sz w:val="16"/>
      <w:szCs w:val="16"/>
    </w:rPr>
  </w:style>
  <w:style w:type="character" w:customStyle="1" w:styleId="BalloonTextChar">
    <w:name w:val="Balloon Text Char"/>
    <w:basedOn w:val="DefaultParagraphFont"/>
    <w:link w:val="BalloonText"/>
    <w:uiPriority w:val="99"/>
    <w:semiHidden/>
    <w:rsid w:val="007700DF"/>
    <w:rPr>
      <w:rFonts w:ascii="Tahoma" w:hAnsi="Tahoma" w:cs="Tahoma"/>
      <w:sz w:val="16"/>
      <w:szCs w:val="16"/>
    </w:rPr>
  </w:style>
  <w:style w:type="paragraph" w:styleId="ListParagraph">
    <w:name w:val="List Paragraph"/>
    <w:basedOn w:val="Normal"/>
    <w:uiPriority w:val="34"/>
    <w:qFormat/>
    <w:rsid w:val="007044F2"/>
    <w:pPr>
      <w:ind w:left="720"/>
      <w:contextualSpacing/>
    </w:pPr>
  </w:style>
  <w:style w:type="paragraph" w:styleId="Header">
    <w:name w:val="header"/>
    <w:basedOn w:val="Normal"/>
    <w:link w:val="HeaderChar"/>
    <w:uiPriority w:val="99"/>
    <w:unhideWhenUsed/>
    <w:rsid w:val="00D279D3"/>
    <w:pPr>
      <w:tabs>
        <w:tab w:val="center" w:pos="4680"/>
        <w:tab w:val="right" w:pos="9360"/>
      </w:tabs>
    </w:pPr>
  </w:style>
  <w:style w:type="character" w:customStyle="1" w:styleId="HeaderChar">
    <w:name w:val="Header Char"/>
    <w:basedOn w:val="DefaultParagraphFont"/>
    <w:link w:val="Header"/>
    <w:uiPriority w:val="99"/>
    <w:rsid w:val="00D279D3"/>
  </w:style>
  <w:style w:type="paragraph" w:styleId="Footer">
    <w:name w:val="footer"/>
    <w:basedOn w:val="Normal"/>
    <w:link w:val="FooterChar"/>
    <w:uiPriority w:val="99"/>
    <w:unhideWhenUsed/>
    <w:rsid w:val="00D279D3"/>
    <w:pPr>
      <w:tabs>
        <w:tab w:val="center" w:pos="4680"/>
        <w:tab w:val="right" w:pos="9360"/>
      </w:tabs>
    </w:pPr>
  </w:style>
  <w:style w:type="character" w:customStyle="1" w:styleId="FooterChar">
    <w:name w:val="Footer Char"/>
    <w:basedOn w:val="DefaultParagraphFont"/>
    <w:link w:val="Footer"/>
    <w:uiPriority w:val="99"/>
    <w:rsid w:val="00D279D3"/>
  </w:style>
  <w:style w:type="paragraph" w:customStyle="1" w:styleId="subsection">
    <w:name w:val="subsection"/>
    <w:basedOn w:val="Normal"/>
    <w:rsid w:val="002C2C1E"/>
    <w:pPr>
      <w:spacing w:before="60" w:after="60"/>
      <w:ind w:left="677" w:hanging="389"/>
      <w:jc w:val="both"/>
    </w:pPr>
    <w:rPr>
      <w:rFonts w:ascii="CG Times" w:hAnsi="CG Times"/>
      <w:szCs w:val="20"/>
    </w:rPr>
  </w:style>
  <w:style w:type="paragraph" w:customStyle="1" w:styleId="paragraph">
    <w:name w:val="paragraph"/>
    <w:basedOn w:val="Normal"/>
    <w:rsid w:val="002C2C1E"/>
    <w:pPr>
      <w:spacing w:before="60" w:after="60"/>
      <w:ind w:left="1109" w:hanging="389"/>
      <w:jc w:val="both"/>
    </w:pPr>
    <w:rPr>
      <w:rFonts w:ascii="CG Times" w:hAnsi="CG Times"/>
      <w:szCs w:val="20"/>
    </w:rPr>
  </w:style>
  <w:style w:type="paragraph" w:customStyle="1" w:styleId="subparagraph">
    <w:name w:val="subparagraph"/>
    <w:basedOn w:val="Normal"/>
    <w:rsid w:val="002C2C1E"/>
    <w:pPr>
      <w:spacing w:before="60" w:after="60"/>
      <w:ind w:left="1641" w:hanging="446"/>
      <w:jc w:val="both"/>
    </w:pPr>
    <w:rPr>
      <w:rFonts w:ascii="CG Times" w:hAnsi="CG Times"/>
      <w:szCs w:val="20"/>
    </w:rPr>
  </w:style>
  <w:style w:type="paragraph" w:customStyle="1" w:styleId="Section3">
    <w:name w:val="Section3"/>
    <w:basedOn w:val="Normal"/>
    <w:rsid w:val="002C2C1E"/>
    <w:pPr>
      <w:keepNext/>
      <w:spacing w:before="120" w:after="120"/>
      <w:ind w:left="1210" w:hanging="1210"/>
      <w:jc w:val="both"/>
    </w:pPr>
    <w:rPr>
      <w:rFonts w:ascii="CG Times" w:hAnsi="CG Times"/>
      <w:b/>
      <w:szCs w:val="20"/>
    </w:rPr>
  </w:style>
  <w:style w:type="paragraph" w:styleId="PlainText">
    <w:name w:val="Plain Text"/>
    <w:basedOn w:val="Normal"/>
    <w:link w:val="PlainTextChar"/>
    <w:rsid w:val="002C2C1E"/>
    <w:rPr>
      <w:rFonts w:ascii="CG Times" w:hAnsi="CG Times"/>
      <w:sz w:val="20"/>
      <w:szCs w:val="20"/>
    </w:rPr>
  </w:style>
  <w:style w:type="character" w:customStyle="1" w:styleId="PlainTextChar">
    <w:name w:val="Plain Text Char"/>
    <w:basedOn w:val="DefaultParagraphFont"/>
    <w:link w:val="PlainText"/>
    <w:rsid w:val="002C2C1E"/>
    <w:rPr>
      <w:rFonts w:ascii="CG Times" w:eastAsia="Times New Roman" w:hAnsi="CG Times" w:cs="Times New Roman"/>
      <w:sz w:val="20"/>
      <w:szCs w:val="20"/>
    </w:rPr>
  </w:style>
  <w:style w:type="paragraph" w:customStyle="1" w:styleId="plaini">
    <w:name w:val="plaini"/>
    <w:basedOn w:val="Normal"/>
    <w:rsid w:val="002C2C1E"/>
    <w:pPr>
      <w:spacing w:before="60" w:after="60"/>
      <w:ind w:left="288"/>
      <w:jc w:val="both"/>
    </w:pPr>
    <w:rPr>
      <w:rFonts w:ascii="CG Times" w:hAnsi="CG Times"/>
      <w:i/>
      <w:szCs w:val="20"/>
    </w:rPr>
  </w:style>
  <w:style w:type="paragraph" w:styleId="BodyText">
    <w:name w:val="Body Text"/>
    <w:basedOn w:val="Normal"/>
    <w:link w:val="BodyTextChar"/>
    <w:rsid w:val="00B549BB"/>
    <w:rPr>
      <w:b/>
      <w:bCs/>
      <w:sz w:val="22"/>
    </w:rPr>
  </w:style>
  <w:style w:type="character" w:customStyle="1" w:styleId="BodyTextChar">
    <w:name w:val="Body Text Char"/>
    <w:basedOn w:val="DefaultParagraphFont"/>
    <w:link w:val="BodyText"/>
    <w:rsid w:val="00B549BB"/>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4">
      <w:bodyDiv w:val="1"/>
      <w:marLeft w:val="0"/>
      <w:marRight w:val="0"/>
      <w:marTop w:val="0"/>
      <w:marBottom w:val="0"/>
      <w:divBdr>
        <w:top w:val="none" w:sz="0" w:space="0" w:color="auto"/>
        <w:left w:val="none" w:sz="0" w:space="0" w:color="auto"/>
        <w:bottom w:val="none" w:sz="0" w:space="0" w:color="auto"/>
        <w:right w:val="none" w:sz="0" w:space="0" w:color="auto"/>
      </w:divBdr>
    </w:div>
    <w:div w:id="170029114">
      <w:bodyDiv w:val="1"/>
      <w:marLeft w:val="0"/>
      <w:marRight w:val="0"/>
      <w:marTop w:val="0"/>
      <w:marBottom w:val="0"/>
      <w:divBdr>
        <w:top w:val="none" w:sz="0" w:space="0" w:color="auto"/>
        <w:left w:val="none" w:sz="0" w:space="0" w:color="auto"/>
        <w:bottom w:val="none" w:sz="0" w:space="0" w:color="auto"/>
        <w:right w:val="none" w:sz="0" w:space="0" w:color="auto"/>
      </w:divBdr>
    </w:div>
    <w:div w:id="186258311">
      <w:bodyDiv w:val="1"/>
      <w:marLeft w:val="0"/>
      <w:marRight w:val="0"/>
      <w:marTop w:val="0"/>
      <w:marBottom w:val="0"/>
      <w:divBdr>
        <w:top w:val="none" w:sz="0" w:space="0" w:color="auto"/>
        <w:left w:val="none" w:sz="0" w:space="0" w:color="auto"/>
        <w:bottom w:val="none" w:sz="0" w:space="0" w:color="auto"/>
        <w:right w:val="none" w:sz="0" w:space="0" w:color="auto"/>
      </w:divBdr>
    </w:div>
    <w:div w:id="259915988">
      <w:bodyDiv w:val="1"/>
      <w:marLeft w:val="0"/>
      <w:marRight w:val="0"/>
      <w:marTop w:val="0"/>
      <w:marBottom w:val="0"/>
      <w:divBdr>
        <w:top w:val="none" w:sz="0" w:space="0" w:color="auto"/>
        <w:left w:val="none" w:sz="0" w:space="0" w:color="auto"/>
        <w:bottom w:val="none" w:sz="0" w:space="0" w:color="auto"/>
        <w:right w:val="none" w:sz="0" w:space="0" w:color="auto"/>
      </w:divBdr>
    </w:div>
    <w:div w:id="318774893">
      <w:bodyDiv w:val="1"/>
      <w:marLeft w:val="0"/>
      <w:marRight w:val="0"/>
      <w:marTop w:val="0"/>
      <w:marBottom w:val="0"/>
      <w:divBdr>
        <w:top w:val="none" w:sz="0" w:space="0" w:color="auto"/>
        <w:left w:val="none" w:sz="0" w:space="0" w:color="auto"/>
        <w:bottom w:val="none" w:sz="0" w:space="0" w:color="auto"/>
        <w:right w:val="none" w:sz="0" w:space="0" w:color="auto"/>
      </w:divBdr>
    </w:div>
    <w:div w:id="328755115">
      <w:bodyDiv w:val="1"/>
      <w:marLeft w:val="0"/>
      <w:marRight w:val="0"/>
      <w:marTop w:val="0"/>
      <w:marBottom w:val="0"/>
      <w:divBdr>
        <w:top w:val="none" w:sz="0" w:space="0" w:color="auto"/>
        <w:left w:val="none" w:sz="0" w:space="0" w:color="auto"/>
        <w:bottom w:val="none" w:sz="0" w:space="0" w:color="auto"/>
        <w:right w:val="none" w:sz="0" w:space="0" w:color="auto"/>
      </w:divBdr>
    </w:div>
    <w:div w:id="334262434">
      <w:bodyDiv w:val="1"/>
      <w:marLeft w:val="0"/>
      <w:marRight w:val="0"/>
      <w:marTop w:val="0"/>
      <w:marBottom w:val="0"/>
      <w:divBdr>
        <w:top w:val="none" w:sz="0" w:space="0" w:color="auto"/>
        <w:left w:val="none" w:sz="0" w:space="0" w:color="auto"/>
        <w:bottom w:val="none" w:sz="0" w:space="0" w:color="auto"/>
        <w:right w:val="none" w:sz="0" w:space="0" w:color="auto"/>
      </w:divBdr>
    </w:div>
    <w:div w:id="345715692">
      <w:bodyDiv w:val="1"/>
      <w:marLeft w:val="0"/>
      <w:marRight w:val="0"/>
      <w:marTop w:val="0"/>
      <w:marBottom w:val="0"/>
      <w:divBdr>
        <w:top w:val="none" w:sz="0" w:space="0" w:color="auto"/>
        <w:left w:val="none" w:sz="0" w:space="0" w:color="auto"/>
        <w:bottom w:val="none" w:sz="0" w:space="0" w:color="auto"/>
        <w:right w:val="none" w:sz="0" w:space="0" w:color="auto"/>
      </w:divBdr>
    </w:div>
    <w:div w:id="349841137">
      <w:bodyDiv w:val="1"/>
      <w:marLeft w:val="0"/>
      <w:marRight w:val="0"/>
      <w:marTop w:val="0"/>
      <w:marBottom w:val="0"/>
      <w:divBdr>
        <w:top w:val="none" w:sz="0" w:space="0" w:color="auto"/>
        <w:left w:val="none" w:sz="0" w:space="0" w:color="auto"/>
        <w:bottom w:val="none" w:sz="0" w:space="0" w:color="auto"/>
        <w:right w:val="none" w:sz="0" w:space="0" w:color="auto"/>
      </w:divBdr>
    </w:div>
    <w:div w:id="391272073">
      <w:bodyDiv w:val="1"/>
      <w:marLeft w:val="0"/>
      <w:marRight w:val="0"/>
      <w:marTop w:val="0"/>
      <w:marBottom w:val="0"/>
      <w:divBdr>
        <w:top w:val="none" w:sz="0" w:space="0" w:color="auto"/>
        <w:left w:val="none" w:sz="0" w:space="0" w:color="auto"/>
        <w:bottom w:val="none" w:sz="0" w:space="0" w:color="auto"/>
        <w:right w:val="none" w:sz="0" w:space="0" w:color="auto"/>
      </w:divBdr>
    </w:div>
    <w:div w:id="395975066">
      <w:bodyDiv w:val="1"/>
      <w:marLeft w:val="0"/>
      <w:marRight w:val="0"/>
      <w:marTop w:val="0"/>
      <w:marBottom w:val="0"/>
      <w:divBdr>
        <w:top w:val="none" w:sz="0" w:space="0" w:color="auto"/>
        <w:left w:val="none" w:sz="0" w:space="0" w:color="auto"/>
        <w:bottom w:val="none" w:sz="0" w:space="0" w:color="auto"/>
        <w:right w:val="none" w:sz="0" w:space="0" w:color="auto"/>
      </w:divBdr>
    </w:div>
    <w:div w:id="419376233">
      <w:bodyDiv w:val="1"/>
      <w:marLeft w:val="0"/>
      <w:marRight w:val="0"/>
      <w:marTop w:val="0"/>
      <w:marBottom w:val="0"/>
      <w:divBdr>
        <w:top w:val="none" w:sz="0" w:space="0" w:color="auto"/>
        <w:left w:val="none" w:sz="0" w:space="0" w:color="auto"/>
        <w:bottom w:val="none" w:sz="0" w:space="0" w:color="auto"/>
        <w:right w:val="none" w:sz="0" w:space="0" w:color="auto"/>
      </w:divBdr>
    </w:div>
    <w:div w:id="468401726">
      <w:bodyDiv w:val="1"/>
      <w:marLeft w:val="0"/>
      <w:marRight w:val="0"/>
      <w:marTop w:val="0"/>
      <w:marBottom w:val="0"/>
      <w:divBdr>
        <w:top w:val="none" w:sz="0" w:space="0" w:color="auto"/>
        <w:left w:val="none" w:sz="0" w:space="0" w:color="auto"/>
        <w:bottom w:val="none" w:sz="0" w:space="0" w:color="auto"/>
        <w:right w:val="none" w:sz="0" w:space="0" w:color="auto"/>
      </w:divBdr>
    </w:div>
    <w:div w:id="470026594">
      <w:bodyDiv w:val="1"/>
      <w:marLeft w:val="0"/>
      <w:marRight w:val="0"/>
      <w:marTop w:val="0"/>
      <w:marBottom w:val="0"/>
      <w:divBdr>
        <w:top w:val="none" w:sz="0" w:space="0" w:color="auto"/>
        <w:left w:val="none" w:sz="0" w:space="0" w:color="auto"/>
        <w:bottom w:val="none" w:sz="0" w:space="0" w:color="auto"/>
        <w:right w:val="none" w:sz="0" w:space="0" w:color="auto"/>
      </w:divBdr>
    </w:div>
    <w:div w:id="484198635">
      <w:bodyDiv w:val="1"/>
      <w:marLeft w:val="0"/>
      <w:marRight w:val="0"/>
      <w:marTop w:val="0"/>
      <w:marBottom w:val="0"/>
      <w:divBdr>
        <w:top w:val="none" w:sz="0" w:space="0" w:color="auto"/>
        <w:left w:val="none" w:sz="0" w:space="0" w:color="auto"/>
        <w:bottom w:val="none" w:sz="0" w:space="0" w:color="auto"/>
        <w:right w:val="none" w:sz="0" w:space="0" w:color="auto"/>
      </w:divBdr>
    </w:div>
    <w:div w:id="550268889">
      <w:bodyDiv w:val="1"/>
      <w:marLeft w:val="0"/>
      <w:marRight w:val="0"/>
      <w:marTop w:val="0"/>
      <w:marBottom w:val="0"/>
      <w:divBdr>
        <w:top w:val="none" w:sz="0" w:space="0" w:color="auto"/>
        <w:left w:val="none" w:sz="0" w:space="0" w:color="auto"/>
        <w:bottom w:val="none" w:sz="0" w:space="0" w:color="auto"/>
        <w:right w:val="none" w:sz="0" w:space="0" w:color="auto"/>
      </w:divBdr>
    </w:div>
    <w:div w:id="624889537">
      <w:bodyDiv w:val="1"/>
      <w:marLeft w:val="0"/>
      <w:marRight w:val="0"/>
      <w:marTop w:val="0"/>
      <w:marBottom w:val="0"/>
      <w:divBdr>
        <w:top w:val="none" w:sz="0" w:space="0" w:color="auto"/>
        <w:left w:val="none" w:sz="0" w:space="0" w:color="auto"/>
        <w:bottom w:val="none" w:sz="0" w:space="0" w:color="auto"/>
        <w:right w:val="none" w:sz="0" w:space="0" w:color="auto"/>
      </w:divBdr>
    </w:div>
    <w:div w:id="639268149">
      <w:bodyDiv w:val="1"/>
      <w:marLeft w:val="0"/>
      <w:marRight w:val="0"/>
      <w:marTop w:val="0"/>
      <w:marBottom w:val="0"/>
      <w:divBdr>
        <w:top w:val="none" w:sz="0" w:space="0" w:color="auto"/>
        <w:left w:val="none" w:sz="0" w:space="0" w:color="auto"/>
        <w:bottom w:val="none" w:sz="0" w:space="0" w:color="auto"/>
        <w:right w:val="none" w:sz="0" w:space="0" w:color="auto"/>
      </w:divBdr>
    </w:div>
    <w:div w:id="645087472">
      <w:bodyDiv w:val="1"/>
      <w:marLeft w:val="0"/>
      <w:marRight w:val="0"/>
      <w:marTop w:val="0"/>
      <w:marBottom w:val="0"/>
      <w:divBdr>
        <w:top w:val="none" w:sz="0" w:space="0" w:color="auto"/>
        <w:left w:val="none" w:sz="0" w:space="0" w:color="auto"/>
        <w:bottom w:val="none" w:sz="0" w:space="0" w:color="auto"/>
        <w:right w:val="none" w:sz="0" w:space="0" w:color="auto"/>
      </w:divBdr>
    </w:div>
    <w:div w:id="659235044">
      <w:bodyDiv w:val="1"/>
      <w:marLeft w:val="0"/>
      <w:marRight w:val="0"/>
      <w:marTop w:val="0"/>
      <w:marBottom w:val="0"/>
      <w:divBdr>
        <w:top w:val="none" w:sz="0" w:space="0" w:color="auto"/>
        <w:left w:val="none" w:sz="0" w:space="0" w:color="auto"/>
        <w:bottom w:val="none" w:sz="0" w:space="0" w:color="auto"/>
        <w:right w:val="none" w:sz="0" w:space="0" w:color="auto"/>
      </w:divBdr>
    </w:div>
    <w:div w:id="671417318">
      <w:bodyDiv w:val="1"/>
      <w:marLeft w:val="0"/>
      <w:marRight w:val="0"/>
      <w:marTop w:val="0"/>
      <w:marBottom w:val="0"/>
      <w:divBdr>
        <w:top w:val="none" w:sz="0" w:space="0" w:color="auto"/>
        <w:left w:val="none" w:sz="0" w:space="0" w:color="auto"/>
        <w:bottom w:val="none" w:sz="0" w:space="0" w:color="auto"/>
        <w:right w:val="none" w:sz="0" w:space="0" w:color="auto"/>
      </w:divBdr>
    </w:div>
    <w:div w:id="675034388">
      <w:bodyDiv w:val="1"/>
      <w:marLeft w:val="0"/>
      <w:marRight w:val="0"/>
      <w:marTop w:val="0"/>
      <w:marBottom w:val="0"/>
      <w:divBdr>
        <w:top w:val="none" w:sz="0" w:space="0" w:color="auto"/>
        <w:left w:val="none" w:sz="0" w:space="0" w:color="auto"/>
        <w:bottom w:val="none" w:sz="0" w:space="0" w:color="auto"/>
        <w:right w:val="none" w:sz="0" w:space="0" w:color="auto"/>
      </w:divBdr>
    </w:div>
    <w:div w:id="676465428">
      <w:bodyDiv w:val="1"/>
      <w:marLeft w:val="0"/>
      <w:marRight w:val="0"/>
      <w:marTop w:val="0"/>
      <w:marBottom w:val="0"/>
      <w:divBdr>
        <w:top w:val="none" w:sz="0" w:space="0" w:color="auto"/>
        <w:left w:val="none" w:sz="0" w:space="0" w:color="auto"/>
        <w:bottom w:val="none" w:sz="0" w:space="0" w:color="auto"/>
        <w:right w:val="none" w:sz="0" w:space="0" w:color="auto"/>
      </w:divBdr>
    </w:div>
    <w:div w:id="690647041">
      <w:bodyDiv w:val="1"/>
      <w:marLeft w:val="0"/>
      <w:marRight w:val="0"/>
      <w:marTop w:val="0"/>
      <w:marBottom w:val="0"/>
      <w:divBdr>
        <w:top w:val="none" w:sz="0" w:space="0" w:color="auto"/>
        <w:left w:val="none" w:sz="0" w:space="0" w:color="auto"/>
        <w:bottom w:val="none" w:sz="0" w:space="0" w:color="auto"/>
        <w:right w:val="none" w:sz="0" w:space="0" w:color="auto"/>
      </w:divBdr>
    </w:div>
    <w:div w:id="698555203">
      <w:bodyDiv w:val="1"/>
      <w:marLeft w:val="0"/>
      <w:marRight w:val="0"/>
      <w:marTop w:val="0"/>
      <w:marBottom w:val="0"/>
      <w:divBdr>
        <w:top w:val="none" w:sz="0" w:space="0" w:color="auto"/>
        <w:left w:val="none" w:sz="0" w:space="0" w:color="auto"/>
        <w:bottom w:val="none" w:sz="0" w:space="0" w:color="auto"/>
        <w:right w:val="none" w:sz="0" w:space="0" w:color="auto"/>
      </w:divBdr>
    </w:div>
    <w:div w:id="705259503">
      <w:bodyDiv w:val="1"/>
      <w:marLeft w:val="0"/>
      <w:marRight w:val="0"/>
      <w:marTop w:val="0"/>
      <w:marBottom w:val="0"/>
      <w:divBdr>
        <w:top w:val="none" w:sz="0" w:space="0" w:color="auto"/>
        <w:left w:val="none" w:sz="0" w:space="0" w:color="auto"/>
        <w:bottom w:val="none" w:sz="0" w:space="0" w:color="auto"/>
        <w:right w:val="none" w:sz="0" w:space="0" w:color="auto"/>
      </w:divBdr>
    </w:div>
    <w:div w:id="714038564">
      <w:bodyDiv w:val="1"/>
      <w:marLeft w:val="0"/>
      <w:marRight w:val="0"/>
      <w:marTop w:val="0"/>
      <w:marBottom w:val="0"/>
      <w:divBdr>
        <w:top w:val="none" w:sz="0" w:space="0" w:color="auto"/>
        <w:left w:val="none" w:sz="0" w:space="0" w:color="auto"/>
        <w:bottom w:val="none" w:sz="0" w:space="0" w:color="auto"/>
        <w:right w:val="none" w:sz="0" w:space="0" w:color="auto"/>
      </w:divBdr>
    </w:div>
    <w:div w:id="715469819">
      <w:bodyDiv w:val="1"/>
      <w:marLeft w:val="0"/>
      <w:marRight w:val="0"/>
      <w:marTop w:val="0"/>
      <w:marBottom w:val="0"/>
      <w:divBdr>
        <w:top w:val="none" w:sz="0" w:space="0" w:color="auto"/>
        <w:left w:val="none" w:sz="0" w:space="0" w:color="auto"/>
        <w:bottom w:val="none" w:sz="0" w:space="0" w:color="auto"/>
        <w:right w:val="none" w:sz="0" w:space="0" w:color="auto"/>
      </w:divBdr>
    </w:div>
    <w:div w:id="720441482">
      <w:bodyDiv w:val="1"/>
      <w:marLeft w:val="0"/>
      <w:marRight w:val="0"/>
      <w:marTop w:val="0"/>
      <w:marBottom w:val="0"/>
      <w:divBdr>
        <w:top w:val="none" w:sz="0" w:space="0" w:color="auto"/>
        <w:left w:val="none" w:sz="0" w:space="0" w:color="auto"/>
        <w:bottom w:val="none" w:sz="0" w:space="0" w:color="auto"/>
        <w:right w:val="none" w:sz="0" w:space="0" w:color="auto"/>
      </w:divBdr>
    </w:div>
    <w:div w:id="720716343">
      <w:bodyDiv w:val="1"/>
      <w:marLeft w:val="0"/>
      <w:marRight w:val="0"/>
      <w:marTop w:val="0"/>
      <w:marBottom w:val="0"/>
      <w:divBdr>
        <w:top w:val="none" w:sz="0" w:space="0" w:color="auto"/>
        <w:left w:val="none" w:sz="0" w:space="0" w:color="auto"/>
        <w:bottom w:val="none" w:sz="0" w:space="0" w:color="auto"/>
        <w:right w:val="none" w:sz="0" w:space="0" w:color="auto"/>
      </w:divBdr>
    </w:div>
    <w:div w:id="734282853">
      <w:bodyDiv w:val="1"/>
      <w:marLeft w:val="0"/>
      <w:marRight w:val="0"/>
      <w:marTop w:val="0"/>
      <w:marBottom w:val="0"/>
      <w:divBdr>
        <w:top w:val="none" w:sz="0" w:space="0" w:color="auto"/>
        <w:left w:val="none" w:sz="0" w:space="0" w:color="auto"/>
        <w:bottom w:val="none" w:sz="0" w:space="0" w:color="auto"/>
        <w:right w:val="none" w:sz="0" w:space="0" w:color="auto"/>
      </w:divBdr>
    </w:div>
    <w:div w:id="756288395">
      <w:bodyDiv w:val="1"/>
      <w:marLeft w:val="0"/>
      <w:marRight w:val="0"/>
      <w:marTop w:val="0"/>
      <w:marBottom w:val="0"/>
      <w:divBdr>
        <w:top w:val="none" w:sz="0" w:space="0" w:color="auto"/>
        <w:left w:val="none" w:sz="0" w:space="0" w:color="auto"/>
        <w:bottom w:val="none" w:sz="0" w:space="0" w:color="auto"/>
        <w:right w:val="none" w:sz="0" w:space="0" w:color="auto"/>
      </w:divBdr>
    </w:div>
    <w:div w:id="784882859">
      <w:bodyDiv w:val="1"/>
      <w:marLeft w:val="0"/>
      <w:marRight w:val="0"/>
      <w:marTop w:val="0"/>
      <w:marBottom w:val="0"/>
      <w:divBdr>
        <w:top w:val="none" w:sz="0" w:space="0" w:color="auto"/>
        <w:left w:val="none" w:sz="0" w:space="0" w:color="auto"/>
        <w:bottom w:val="none" w:sz="0" w:space="0" w:color="auto"/>
        <w:right w:val="none" w:sz="0" w:space="0" w:color="auto"/>
      </w:divBdr>
    </w:div>
    <w:div w:id="836070246">
      <w:bodyDiv w:val="1"/>
      <w:marLeft w:val="0"/>
      <w:marRight w:val="0"/>
      <w:marTop w:val="0"/>
      <w:marBottom w:val="0"/>
      <w:divBdr>
        <w:top w:val="none" w:sz="0" w:space="0" w:color="auto"/>
        <w:left w:val="none" w:sz="0" w:space="0" w:color="auto"/>
        <w:bottom w:val="none" w:sz="0" w:space="0" w:color="auto"/>
        <w:right w:val="none" w:sz="0" w:space="0" w:color="auto"/>
      </w:divBdr>
    </w:div>
    <w:div w:id="847212963">
      <w:bodyDiv w:val="1"/>
      <w:marLeft w:val="0"/>
      <w:marRight w:val="0"/>
      <w:marTop w:val="0"/>
      <w:marBottom w:val="0"/>
      <w:divBdr>
        <w:top w:val="none" w:sz="0" w:space="0" w:color="auto"/>
        <w:left w:val="none" w:sz="0" w:space="0" w:color="auto"/>
        <w:bottom w:val="none" w:sz="0" w:space="0" w:color="auto"/>
        <w:right w:val="none" w:sz="0" w:space="0" w:color="auto"/>
      </w:divBdr>
    </w:div>
    <w:div w:id="856308442">
      <w:bodyDiv w:val="1"/>
      <w:marLeft w:val="0"/>
      <w:marRight w:val="0"/>
      <w:marTop w:val="0"/>
      <w:marBottom w:val="0"/>
      <w:divBdr>
        <w:top w:val="none" w:sz="0" w:space="0" w:color="auto"/>
        <w:left w:val="none" w:sz="0" w:space="0" w:color="auto"/>
        <w:bottom w:val="none" w:sz="0" w:space="0" w:color="auto"/>
        <w:right w:val="none" w:sz="0" w:space="0" w:color="auto"/>
      </w:divBdr>
    </w:div>
    <w:div w:id="883063774">
      <w:bodyDiv w:val="1"/>
      <w:marLeft w:val="0"/>
      <w:marRight w:val="0"/>
      <w:marTop w:val="0"/>
      <w:marBottom w:val="0"/>
      <w:divBdr>
        <w:top w:val="none" w:sz="0" w:space="0" w:color="auto"/>
        <w:left w:val="none" w:sz="0" w:space="0" w:color="auto"/>
        <w:bottom w:val="none" w:sz="0" w:space="0" w:color="auto"/>
        <w:right w:val="none" w:sz="0" w:space="0" w:color="auto"/>
      </w:divBdr>
    </w:div>
    <w:div w:id="909583873">
      <w:bodyDiv w:val="1"/>
      <w:marLeft w:val="0"/>
      <w:marRight w:val="0"/>
      <w:marTop w:val="0"/>
      <w:marBottom w:val="0"/>
      <w:divBdr>
        <w:top w:val="none" w:sz="0" w:space="0" w:color="auto"/>
        <w:left w:val="none" w:sz="0" w:space="0" w:color="auto"/>
        <w:bottom w:val="none" w:sz="0" w:space="0" w:color="auto"/>
        <w:right w:val="none" w:sz="0" w:space="0" w:color="auto"/>
      </w:divBdr>
    </w:div>
    <w:div w:id="911308698">
      <w:bodyDiv w:val="1"/>
      <w:marLeft w:val="0"/>
      <w:marRight w:val="0"/>
      <w:marTop w:val="0"/>
      <w:marBottom w:val="0"/>
      <w:divBdr>
        <w:top w:val="none" w:sz="0" w:space="0" w:color="auto"/>
        <w:left w:val="none" w:sz="0" w:space="0" w:color="auto"/>
        <w:bottom w:val="none" w:sz="0" w:space="0" w:color="auto"/>
        <w:right w:val="none" w:sz="0" w:space="0" w:color="auto"/>
      </w:divBdr>
    </w:div>
    <w:div w:id="951472510">
      <w:bodyDiv w:val="1"/>
      <w:marLeft w:val="0"/>
      <w:marRight w:val="0"/>
      <w:marTop w:val="0"/>
      <w:marBottom w:val="0"/>
      <w:divBdr>
        <w:top w:val="none" w:sz="0" w:space="0" w:color="auto"/>
        <w:left w:val="none" w:sz="0" w:space="0" w:color="auto"/>
        <w:bottom w:val="none" w:sz="0" w:space="0" w:color="auto"/>
        <w:right w:val="none" w:sz="0" w:space="0" w:color="auto"/>
      </w:divBdr>
    </w:div>
    <w:div w:id="961424900">
      <w:bodyDiv w:val="1"/>
      <w:marLeft w:val="0"/>
      <w:marRight w:val="0"/>
      <w:marTop w:val="0"/>
      <w:marBottom w:val="0"/>
      <w:divBdr>
        <w:top w:val="none" w:sz="0" w:space="0" w:color="auto"/>
        <w:left w:val="none" w:sz="0" w:space="0" w:color="auto"/>
        <w:bottom w:val="none" w:sz="0" w:space="0" w:color="auto"/>
        <w:right w:val="none" w:sz="0" w:space="0" w:color="auto"/>
      </w:divBdr>
    </w:div>
    <w:div w:id="961617041">
      <w:bodyDiv w:val="1"/>
      <w:marLeft w:val="0"/>
      <w:marRight w:val="0"/>
      <w:marTop w:val="0"/>
      <w:marBottom w:val="0"/>
      <w:divBdr>
        <w:top w:val="none" w:sz="0" w:space="0" w:color="auto"/>
        <w:left w:val="none" w:sz="0" w:space="0" w:color="auto"/>
        <w:bottom w:val="none" w:sz="0" w:space="0" w:color="auto"/>
        <w:right w:val="none" w:sz="0" w:space="0" w:color="auto"/>
      </w:divBdr>
    </w:div>
    <w:div w:id="991375830">
      <w:bodyDiv w:val="1"/>
      <w:marLeft w:val="0"/>
      <w:marRight w:val="0"/>
      <w:marTop w:val="0"/>
      <w:marBottom w:val="0"/>
      <w:divBdr>
        <w:top w:val="none" w:sz="0" w:space="0" w:color="auto"/>
        <w:left w:val="none" w:sz="0" w:space="0" w:color="auto"/>
        <w:bottom w:val="none" w:sz="0" w:space="0" w:color="auto"/>
        <w:right w:val="none" w:sz="0" w:space="0" w:color="auto"/>
      </w:divBdr>
    </w:div>
    <w:div w:id="1032806287">
      <w:bodyDiv w:val="1"/>
      <w:marLeft w:val="0"/>
      <w:marRight w:val="0"/>
      <w:marTop w:val="0"/>
      <w:marBottom w:val="0"/>
      <w:divBdr>
        <w:top w:val="none" w:sz="0" w:space="0" w:color="auto"/>
        <w:left w:val="none" w:sz="0" w:space="0" w:color="auto"/>
        <w:bottom w:val="none" w:sz="0" w:space="0" w:color="auto"/>
        <w:right w:val="none" w:sz="0" w:space="0" w:color="auto"/>
      </w:divBdr>
    </w:div>
    <w:div w:id="1037705630">
      <w:bodyDiv w:val="1"/>
      <w:marLeft w:val="0"/>
      <w:marRight w:val="0"/>
      <w:marTop w:val="0"/>
      <w:marBottom w:val="0"/>
      <w:divBdr>
        <w:top w:val="none" w:sz="0" w:space="0" w:color="auto"/>
        <w:left w:val="none" w:sz="0" w:space="0" w:color="auto"/>
        <w:bottom w:val="none" w:sz="0" w:space="0" w:color="auto"/>
        <w:right w:val="none" w:sz="0" w:space="0" w:color="auto"/>
      </w:divBdr>
    </w:div>
    <w:div w:id="1038239471">
      <w:bodyDiv w:val="1"/>
      <w:marLeft w:val="0"/>
      <w:marRight w:val="0"/>
      <w:marTop w:val="0"/>
      <w:marBottom w:val="0"/>
      <w:divBdr>
        <w:top w:val="none" w:sz="0" w:space="0" w:color="auto"/>
        <w:left w:val="none" w:sz="0" w:space="0" w:color="auto"/>
        <w:bottom w:val="none" w:sz="0" w:space="0" w:color="auto"/>
        <w:right w:val="none" w:sz="0" w:space="0" w:color="auto"/>
      </w:divBdr>
    </w:div>
    <w:div w:id="1061320534">
      <w:bodyDiv w:val="1"/>
      <w:marLeft w:val="0"/>
      <w:marRight w:val="0"/>
      <w:marTop w:val="0"/>
      <w:marBottom w:val="0"/>
      <w:divBdr>
        <w:top w:val="none" w:sz="0" w:space="0" w:color="auto"/>
        <w:left w:val="none" w:sz="0" w:space="0" w:color="auto"/>
        <w:bottom w:val="none" w:sz="0" w:space="0" w:color="auto"/>
        <w:right w:val="none" w:sz="0" w:space="0" w:color="auto"/>
      </w:divBdr>
    </w:div>
    <w:div w:id="1071082370">
      <w:bodyDiv w:val="1"/>
      <w:marLeft w:val="0"/>
      <w:marRight w:val="0"/>
      <w:marTop w:val="0"/>
      <w:marBottom w:val="0"/>
      <w:divBdr>
        <w:top w:val="none" w:sz="0" w:space="0" w:color="auto"/>
        <w:left w:val="none" w:sz="0" w:space="0" w:color="auto"/>
        <w:bottom w:val="none" w:sz="0" w:space="0" w:color="auto"/>
        <w:right w:val="none" w:sz="0" w:space="0" w:color="auto"/>
      </w:divBdr>
    </w:div>
    <w:div w:id="1087968405">
      <w:bodyDiv w:val="1"/>
      <w:marLeft w:val="0"/>
      <w:marRight w:val="0"/>
      <w:marTop w:val="0"/>
      <w:marBottom w:val="0"/>
      <w:divBdr>
        <w:top w:val="none" w:sz="0" w:space="0" w:color="auto"/>
        <w:left w:val="none" w:sz="0" w:space="0" w:color="auto"/>
        <w:bottom w:val="none" w:sz="0" w:space="0" w:color="auto"/>
        <w:right w:val="none" w:sz="0" w:space="0" w:color="auto"/>
      </w:divBdr>
    </w:div>
    <w:div w:id="1094083761">
      <w:bodyDiv w:val="1"/>
      <w:marLeft w:val="0"/>
      <w:marRight w:val="0"/>
      <w:marTop w:val="0"/>
      <w:marBottom w:val="0"/>
      <w:divBdr>
        <w:top w:val="none" w:sz="0" w:space="0" w:color="auto"/>
        <w:left w:val="none" w:sz="0" w:space="0" w:color="auto"/>
        <w:bottom w:val="none" w:sz="0" w:space="0" w:color="auto"/>
        <w:right w:val="none" w:sz="0" w:space="0" w:color="auto"/>
      </w:divBdr>
    </w:div>
    <w:div w:id="1167983041">
      <w:bodyDiv w:val="1"/>
      <w:marLeft w:val="0"/>
      <w:marRight w:val="0"/>
      <w:marTop w:val="0"/>
      <w:marBottom w:val="0"/>
      <w:divBdr>
        <w:top w:val="none" w:sz="0" w:space="0" w:color="auto"/>
        <w:left w:val="none" w:sz="0" w:space="0" w:color="auto"/>
        <w:bottom w:val="none" w:sz="0" w:space="0" w:color="auto"/>
        <w:right w:val="none" w:sz="0" w:space="0" w:color="auto"/>
      </w:divBdr>
    </w:div>
    <w:div w:id="1172717373">
      <w:bodyDiv w:val="1"/>
      <w:marLeft w:val="0"/>
      <w:marRight w:val="0"/>
      <w:marTop w:val="0"/>
      <w:marBottom w:val="0"/>
      <w:divBdr>
        <w:top w:val="none" w:sz="0" w:space="0" w:color="auto"/>
        <w:left w:val="none" w:sz="0" w:space="0" w:color="auto"/>
        <w:bottom w:val="none" w:sz="0" w:space="0" w:color="auto"/>
        <w:right w:val="none" w:sz="0" w:space="0" w:color="auto"/>
      </w:divBdr>
    </w:div>
    <w:div w:id="1182276865">
      <w:bodyDiv w:val="1"/>
      <w:marLeft w:val="0"/>
      <w:marRight w:val="0"/>
      <w:marTop w:val="0"/>
      <w:marBottom w:val="0"/>
      <w:divBdr>
        <w:top w:val="none" w:sz="0" w:space="0" w:color="auto"/>
        <w:left w:val="none" w:sz="0" w:space="0" w:color="auto"/>
        <w:bottom w:val="none" w:sz="0" w:space="0" w:color="auto"/>
        <w:right w:val="none" w:sz="0" w:space="0" w:color="auto"/>
      </w:divBdr>
    </w:div>
    <w:div w:id="1188986012">
      <w:bodyDiv w:val="1"/>
      <w:marLeft w:val="0"/>
      <w:marRight w:val="0"/>
      <w:marTop w:val="0"/>
      <w:marBottom w:val="0"/>
      <w:divBdr>
        <w:top w:val="none" w:sz="0" w:space="0" w:color="auto"/>
        <w:left w:val="none" w:sz="0" w:space="0" w:color="auto"/>
        <w:bottom w:val="none" w:sz="0" w:space="0" w:color="auto"/>
        <w:right w:val="none" w:sz="0" w:space="0" w:color="auto"/>
      </w:divBdr>
    </w:div>
    <w:div w:id="1206794586">
      <w:bodyDiv w:val="1"/>
      <w:marLeft w:val="0"/>
      <w:marRight w:val="0"/>
      <w:marTop w:val="0"/>
      <w:marBottom w:val="0"/>
      <w:divBdr>
        <w:top w:val="none" w:sz="0" w:space="0" w:color="auto"/>
        <w:left w:val="none" w:sz="0" w:space="0" w:color="auto"/>
        <w:bottom w:val="none" w:sz="0" w:space="0" w:color="auto"/>
        <w:right w:val="none" w:sz="0" w:space="0" w:color="auto"/>
      </w:divBdr>
    </w:div>
    <w:div w:id="1211841201">
      <w:bodyDiv w:val="1"/>
      <w:marLeft w:val="0"/>
      <w:marRight w:val="0"/>
      <w:marTop w:val="0"/>
      <w:marBottom w:val="0"/>
      <w:divBdr>
        <w:top w:val="none" w:sz="0" w:space="0" w:color="auto"/>
        <w:left w:val="none" w:sz="0" w:space="0" w:color="auto"/>
        <w:bottom w:val="none" w:sz="0" w:space="0" w:color="auto"/>
        <w:right w:val="none" w:sz="0" w:space="0" w:color="auto"/>
      </w:divBdr>
    </w:div>
    <w:div w:id="1219122991">
      <w:bodyDiv w:val="1"/>
      <w:marLeft w:val="0"/>
      <w:marRight w:val="0"/>
      <w:marTop w:val="0"/>
      <w:marBottom w:val="0"/>
      <w:divBdr>
        <w:top w:val="none" w:sz="0" w:space="0" w:color="auto"/>
        <w:left w:val="none" w:sz="0" w:space="0" w:color="auto"/>
        <w:bottom w:val="none" w:sz="0" w:space="0" w:color="auto"/>
        <w:right w:val="none" w:sz="0" w:space="0" w:color="auto"/>
      </w:divBdr>
    </w:div>
    <w:div w:id="1245798227">
      <w:bodyDiv w:val="1"/>
      <w:marLeft w:val="0"/>
      <w:marRight w:val="0"/>
      <w:marTop w:val="0"/>
      <w:marBottom w:val="0"/>
      <w:divBdr>
        <w:top w:val="none" w:sz="0" w:space="0" w:color="auto"/>
        <w:left w:val="none" w:sz="0" w:space="0" w:color="auto"/>
        <w:bottom w:val="none" w:sz="0" w:space="0" w:color="auto"/>
        <w:right w:val="none" w:sz="0" w:space="0" w:color="auto"/>
      </w:divBdr>
    </w:div>
    <w:div w:id="1294286996">
      <w:bodyDiv w:val="1"/>
      <w:marLeft w:val="0"/>
      <w:marRight w:val="0"/>
      <w:marTop w:val="0"/>
      <w:marBottom w:val="0"/>
      <w:divBdr>
        <w:top w:val="none" w:sz="0" w:space="0" w:color="auto"/>
        <w:left w:val="none" w:sz="0" w:space="0" w:color="auto"/>
        <w:bottom w:val="none" w:sz="0" w:space="0" w:color="auto"/>
        <w:right w:val="none" w:sz="0" w:space="0" w:color="auto"/>
      </w:divBdr>
    </w:div>
    <w:div w:id="1297685502">
      <w:bodyDiv w:val="1"/>
      <w:marLeft w:val="0"/>
      <w:marRight w:val="0"/>
      <w:marTop w:val="0"/>
      <w:marBottom w:val="0"/>
      <w:divBdr>
        <w:top w:val="none" w:sz="0" w:space="0" w:color="auto"/>
        <w:left w:val="none" w:sz="0" w:space="0" w:color="auto"/>
        <w:bottom w:val="none" w:sz="0" w:space="0" w:color="auto"/>
        <w:right w:val="none" w:sz="0" w:space="0" w:color="auto"/>
      </w:divBdr>
    </w:div>
    <w:div w:id="1312297380">
      <w:bodyDiv w:val="1"/>
      <w:marLeft w:val="0"/>
      <w:marRight w:val="0"/>
      <w:marTop w:val="0"/>
      <w:marBottom w:val="0"/>
      <w:divBdr>
        <w:top w:val="none" w:sz="0" w:space="0" w:color="auto"/>
        <w:left w:val="none" w:sz="0" w:space="0" w:color="auto"/>
        <w:bottom w:val="none" w:sz="0" w:space="0" w:color="auto"/>
        <w:right w:val="none" w:sz="0" w:space="0" w:color="auto"/>
      </w:divBdr>
    </w:div>
    <w:div w:id="1326782287">
      <w:bodyDiv w:val="1"/>
      <w:marLeft w:val="0"/>
      <w:marRight w:val="0"/>
      <w:marTop w:val="0"/>
      <w:marBottom w:val="0"/>
      <w:divBdr>
        <w:top w:val="none" w:sz="0" w:space="0" w:color="auto"/>
        <w:left w:val="none" w:sz="0" w:space="0" w:color="auto"/>
        <w:bottom w:val="none" w:sz="0" w:space="0" w:color="auto"/>
        <w:right w:val="none" w:sz="0" w:space="0" w:color="auto"/>
      </w:divBdr>
    </w:div>
    <w:div w:id="1368528416">
      <w:bodyDiv w:val="1"/>
      <w:marLeft w:val="0"/>
      <w:marRight w:val="0"/>
      <w:marTop w:val="0"/>
      <w:marBottom w:val="0"/>
      <w:divBdr>
        <w:top w:val="none" w:sz="0" w:space="0" w:color="auto"/>
        <w:left w:val="none" w:sz="0" w:space="0" w:color="auto"/>
        <w:bottom w:val="none" w:sz="0" w:space="0" w:color="auto"/>
        <w:right w:val="none" w:sz="0" w:space="0" w:color="auto"/>
      </w:divBdr>
    </w:div>
    <w:div w:id="1378309873">
      <w:bodyDiv w:val="1"/>
      <w:marLeft w:val="0"/>
      <w:marRight w:val="0"/>
      <w:marTop w:val="0"/>
      <w:marBottom w:val="0"/>
      <w:divBdr>
        <w:top w:val="none" w:sz="0" w:space="0" w:color="auto"/>
        <w:left w:val="none" w:sz="0" w:space="0" w:color="auto"/>
        <w:bottom w:val="none" w:sz="0" w:space="0" w:color="auto"/>
        <w:right w:val="none" w:sz="0" w:space="0" w:color="auto"/>
      </w:divBdr>
    </w:div>
    <w:div w:id="1389497633">
      <w:bodyDiv w:val="1"/>
      <w:marLeft w:val="0"/>
      <w:marRight w:val="0"/>
      <w:marTop w:val="0"/>
      <w:marBottom w:val="0"/>
      <w:divBdr>
        <w:top w:val="none" w:sz="0" w:space="0" w:color="auto"/>
        <w:left w:val="none" w:sz="0" w:space="0" w:color="auto"/>
        <w:bottom w:val="none" w:sz="0" w:space="0" w:color="auto"/>
        <w:right w:val="none" w:sz="0" w:space="0" w:color="auto"/>
      </w:divBdr>
    </w:div>
    <w:div w:id="1466243083">
      <w:bodyDiv w:val="1"/>
      <w:marLeft w:val="0"/>
      <w:marRight w:val="0"/>
      <w:marTop w:val="0"/>
      <w:marBottom w:val="0"/>
      <w:divBdr>
        <w:top w:val="none" w:sz="0" w:space="0" w:color="auto"/>
        <w:left w:val="none" w:sz="0" w:space="0" w:color="auto"/>
        <w:bottom w:val="none" w:sz="0" w:space="0" w:color="auto"/>
        <w:right w:val="none" w:sz="0" w:space="0" w:color="auto"/>
      </w:divBdr>
    </w:div>
    <w:div w:id="1496412841">
      <w:bodyDiv w:val="1"/>
      <w:marLeft w:val="0"/>
      <w:marRight w:val="0"/>
      <w:marTop w:val="0"/>
      <w:marBottom w:val="0"/>
      <w:divBdr>
        <w:top w:val="none" w:sz="0" w:space="0" w:color="auto"/>
        <w:left w:val="none" w:sz="0" w:space="0" w:color="auto"/>
        <w:bottom w:val="none" w:sz="0" w:space="0" w:color="auto"/>
        <w:right w:val="none" w:sz="0" w:space="0" w:color="auto"/>
      </w:divBdr>
    </w:div>
    <w:div w:id="1500578106">
      <w:bodyDiv w:val="1"/>
      <w:marLeft w:val="0"/>
      <w:marRight w:val="0"/>
      <w:marTop w:val="0"/>
      <w:marBottom w:val="0"/>
      <w:divBdr>
        <w:top w:val="none" w:sz="0" w:space="0" w:color="auto"/>
        <w:left w:val="none" w:sz="0" w:space="0" w:color="auto"/>
        <w:bottom w:val="none" w:sz="0" w:space="0" w:color="auto"/>
        <w:right w:val="none" w:sz="0" w:space="0" w:color="auto"/>
      </w:divBdr>
    </w:div>
    <w:div w:id="1501390341">
      <w:bodyDiv w:val="1"/>
      <w:marLeft w:val="0"/>
      <w:marRight w:val="0"/>
      <w:marTop w:val="0"/>
      <w:marBottom w:val="0"/>
      <w:divBdr>
        <w:top w:val="none" w:sz="0" w:space="0" w:color="auto"/>
        <w:left w:val="none" w:sz="0" w:space="0" w:color="auto"/>
        <w:bottom w:val="none" w:sz="0" w:space="0" w:color="auto"/>
        <w:right w:val="none" w:sz="0" w:space="0" w:color="auto"/>
      </w:divBdr>
    </w:div>
    <w:div w:id="1513181594">
      <w:bodyDiv w:val="1"/>
      <w:marLeft w:val="0"/>
      <w:marRight w:val="0"/>
      <w:marTop w:val="0"/>
      <w:marBottom w:val="0"/>
      <w:divBdr>
        <w:top w:val="none" w:sz="0" w:space="0" w:color="auto"/>
        <w:left w:val="none" w:sz="0" w:space="0" w:color="auto"/>
        <w:bottom w:val="none" w:sz="0" w:space="0" w:color="auto"/>
        <w:right w:val="none" w:sz="0" w:space="0" w:color="auto"/>
      </w:divBdr>
    </w:div>
    <w:div w:id="1560089283">
      <w:bodyDiv w:val="1"/>
      <w:marLeft w:val="0"/>
      <w:marRight w:val="0"/>
      <w:marTop w:val="0"/>
      <w:marBottom w:val="0"/>
      <w:divBdr>
        <w:top w:val="none" w:sz="0" w:space="0" w:color="auto"/>
        <w:left w:val="none" w:sz="0" w:space="0" w:color="auto"/>
        <w:bottom w:val="none" w:sz="0" w:space="0" w:color="auto"/>
        <w:right w:val="none" w:sz="0" w:space="0" w:color="auto"/>
      </w:divBdr>
    </w:div>
    <w:div w:id="1592616503">
      <w:bodyDiv w:val="1"/>
      <w:marLeft w:val="0"/>
      <w:marRight w:val="0"/>
      <w:marTop w:val="0"/>
      <w:marBottom w:val="0"/>
      <w:divBdr>
        <w:top w:val="none" w:sz="0" w:space="0" w:color="auto"/>
        <w:left w:val="none" w:sz="0" w:space="0" w:color="auto"/>
        <w:bottom w:val="none" w:sz="0" w:space="0" w:color="auto"/>
        <w:right w:val="none" w:sz="0" w:space="0" w:color="auto"/>
      </w:divBdr>
    </w:div>
    <w:div w:id="1616130790">
      <w:bodyDiv w:val="1"/>
      <w:marLeft w:val="0"/>
      <w:marRight w:val="0"/>
      <w:marTop w:val="0"/>
      <w:marBottom w:val="0"/>
      <w:divBdr>
        <w:top w:val="none" w:sz="0" w:space="0" w:color="auto"/>
        <w:left w:val="none" w:sz="0" w:space="0" w:color="auto"/>
        <w:bottom w:val="none" w:sz="0" w:space="0" w:color="auto"/>
        <w:right w:val="none" w:sz="0" w:space="0" w:color="auto"/>
      </w:divBdr>
    </w:div>
    <w:div w:id="1621650275">
      <w:bodyDiv w:val="1"/>
      <w:marLeft w:val="0"/>
      <w:marRight w:val="0"/>
      <w:marTop w:val="0"/>
      <w:marBottom w:val="0"/>
      <w:divBdr>
        <w:top w:val="none" w:sz="0" w:space="0" w:color="auto"/>
        <w:left w:val="none" w:sz="0" w:space="0" w:color="auto"/>
        <w:bottom w:val="none" w:sz="0" w:space="0" w:color="auto"/>
        <w:right w:val="none" w:sz="0" w:space="0" w:color="auto"/>
      </w:divBdr>
    </w:div>
    <w:div w:id="1628125796">
      <w:bodyDiv w:val="1"/>
      <w:marLeft w:val="0"/>
      <w:marRight w:val="0"/>
      <w:marTop w:val="0"/>
      <w:marBottom w:val="0"/>
      <w:divBdr>
        <w:top w:val="none" w:sz="0" w:space="0" w:color="auto"/>
        <w:left w:val="none" w:sz="0" w:space="0" w:color="auto"/>
        <w:bottom w:val="none" w:sz="0" w:space="0" w:color="auto"/>
        <w:right w:val="none" w:sz="0" w:space="0" w:color="auto"/>
      </w:divBdr>
    </w:div>
    <w:div w:id="1629822682">
      <w:bodyDiv w:val="1"/>
      <w:marLeft w:val="0"/>
      <w:marRight w:val="0"/>
      <w:marTop w:val="0"/>
      <w:marBottom w:val="0"/>
      <w:divBdr>
        <w:top w:val="none" w:sz="0" w:space="0" w:color="auto"/>
        <w:left w:val="none" w:sz="0" w:space="0" w:color="auto"/>
        <w:bottom w:val="none" w:sz="0" w:space="0" w:color="auto"/>
        <w:right w:val="none" w:sz="0" w:space="0" w:color="auto"/>
      </w:divBdr>
    </w:div>
    <w:div w:id="1633633837">
      <w:bodyDiv w:val="1"/>
      <w:marLeft w:val="0"/>
      <w:marRight w:val="0"/>
      <w:marTop w:val="0"/>
      <w:marBottom w:val="0"/>
      <w:divBdr>
        <w:top w:val="none" w:sz="0" w:space="0" w:color="auto"/>
        <w:left w:val="none" w:sz="0" w:space="0" w:color="auto"/>
        <w:bottom w:val="none" w:sz="0" w:space="0" w:color="auto"/>
        <w:right w:val="none" w:sz="0" w:space="0" w:color="auto"/>
      </w:divBdr>
    </w:div>
    <w:div w:id="1651665894">
      <w:bodyDiv w:val="1"/>
      <w:marLeft w:val="0"/>
      <w:marRight w:val="0"/>
      <w:marTop w:val="0"/>
      <w:marBottom w:val="0"/>
      <w:divBdr>
        <w:top w:val="none" w:sz="0" w:space="0" w:color="auto"/>
        <w:left w:val="none" w:sz="0" w:space="0" w:color="auto"/>
        <w:bottom w:val="none" w:sz="0" w:space="0" w:color="auto"/>
        <w:right w:val="none" w:sz="0" w:space="0" w:color="auto"/>
      </w:divBdr>
    </w:div>
    <w:div w:id="1659377558">
      <w:bodyDiv w:val="1"/>
      <w:marLeft w:val="0"/>
      <w:marRight w:val="0"/>
      <w:marTop w:val="0"/>
      <w:marBottom w:val="0"/>
      <w:divBdr>
        <w:top w:val="none" w:sz="0" w:space="0" w:color="auto"/>
        <w:left w:val="none" w:sz="0" w:space="0" w:color="auto"/>
        <w:bottom w:val="none" w:sz="0" w:space="0" w:color="auto"/>
        <w:right w:val="none" w:sz="0" w:space="0" w:color="auto"/>
      </w:divBdr>
    </w:div>
    <w:div w:id="1665744902">
      <w:bodyDiv w:val="1"/>
      <w:marLeft w:val="0"/>
      <w:marRight w:val="0"/>
      <w:marTop w:val="0"/>
      <w:marBottom w:val="0"/>
      <w:divBdr>
        <w:top w:val="none" w:sz="0" w:space="0" w:color="auto"/>
        <w:left w:val="none" w:sz="0" w:space="0" w:color="auto"/>
        <w:bottom w:val="none" w:sz="0" w:space="0" w:color="auto"/>
        <w:right w:val="none" w:sz="0" w:space="0" w:color="auto"/>
      </w:divBdr>
    </w:div>
    <w:div w:id="1680110780">
      <w:bodyDiv w:val="1"/>
      <w:marLeft w:val="0"/>
      <w:marRight w:val="0"/>
      <w:marTop w:val="0"/>
      <w:marBottom w:val="0"/>
      <w:divBdr>
        <w:top w:val="none" w:sz="0" w:space="0" w:color="auto"/>
        <w:left w:val="none" w:sz="0" w:space="0" w:color="auto"/>
        <w:bottom w:val="none" w:sz="0" w:space="0" w:color="auto"/>
        <w:right w:val="none" w:sz="0" w:space="0" w:color="auto"/>
      </w:divBdr>
    </w:div>
    <w:div w:id="1713193870">
      <w:bodyDiv w:val="1"/>
      <w:marLeft w:val="0"/>
      <w:marRight w:val="0"/>
      <w:marTop w:val="0"/>
      <w:marBottom w:val="0"/>
      <w:divBdr>
        <w:top w:val="none" w:sz="0" w:space="0" w:color="auto"/>
        <w:left w:val="none" w:sz="0" w:space="0" w:color="auto"/>
        <w:bottom w:val="none" w:sz="0" w:space="0" w:color="auto"/>
        <w:right w:val="none" w:sz="0" w:space="0" w:color="auto"/>
      </w:divBdr>
    </w:div>
    <w:div w:id="1714191449">
      <w:bodyDiv w:val="1"/>
      <w:marLeft w:val="0"/>
      <w:marRight w:val="0"/>
      <w:marTop w:val="0"/>
      <w:marBottom w:val="0"/>
      <w:divBdr>
        <w:top w:val="none" w:sz="0" w:space="0" w:color="auto"/>
        <w:left w:val="none" w:sz="0" w:space="0" w:color="auto"/>
        <w:bottom w:val="none" w:sz="0" w:space="0" w:color="auto"/>
        <w:right w:val="none" w:sz="0" w:space="0" w:color="auto"/>
      </w:divBdr>
    </w:div>
    <w:div w:id="1725134888">
      <w:bodyDiv w:val="1"/>
      <w:marLeft w:val="0"/>
      <w:marRight w:val="0"/>
      <w:marTop w:val="0"/>
      <w:marBottom w:val="0"/>
      <w:divBdr>
        <w:top w:val="none" w:sz="0" w:space="0" w:color="auto"/>
        <w:left w:val="none" w:sz="0" w:space="0" w:color="auto"/>
        <w:bottom w:val="none" w:sz="0" w:space="0" w:color="auto"/>
        <w:right w:val="none" w:sz="0" w:space="0" w:color="auto"/>
      </w:divBdr>
    </w:div>
    <w:div w:id="1728339616">
      <w:bodyDiv w:val="1"/>
      <w:marLeft w:val="0"/>
      <w:marRight w:val="0"/>
      <w:marTop w:val="0"/>
      <w:marBottom w:val="0"/>
      <w:divBdr>
        <w:top w:val="none" w:sz="0" w:space="0" w:color="auto"/>
        <w:left w:val="none" w:sz="0" w:space="0" w:color="auto"/>
        <w:bottom w:val="none" w:sz="0" w:space="0" w:color="auto"/>
        <w:right w:val="none" w:sz="0" w:space="0" w:color="auto"/>
      </w:divBdr>
    </w:div>
    <w:div w:id="1734311833">
      <w:bodyDiv w:val="1"/>
      <w:marLeft w:val="0"/>
      <w:marRight w:val="0"/>
      <w:marTop w:val="0"/>
      <w:marBottom w:val="0"/>
      <w:divBdr>
        <w:top w:val="none" w:sz="0" w:space="0" w:color="auto"/>
        <w:left w:val="none" w:sz="0" w:space="0" w:color="auto"/>
        <w:bottom w:val="none" w:sz="0" w:space="0" w:color="auto"/>
        <w:right w:val="none" w:sz="0" w:space="0" w:color="auto"/>
      </w:divBdr>
    </w:div>
    <w:div w:id="1744452933">
      <w:bodyDiv w:val="1"/>
      <w:marLeft w:val="0"/>
      <w:marRight w:val="0"/>
      <w:marTop w:val="0"/>
      <w:marBottom w:val="0"/>
      <w:divBdr>
        <w:top w:val="none" w:sz="0" w:space="0" w:color="auto"/>
        <w:left w:val="none" w:sz="0" w:space="0" w:color="auto"/>
        <w:bottom w:val="none" w:sz="0" w:space="0" w:color="auto"/>
        <w:right w:val="none" w:sz="0" w:space="0" w:color="auto"/>
      </w:divBdr>
    </w:div>
    <w:div w:id="1755080116">
      <w:bodyDiv w:val="1"/>
      <w:marLeft w:val="0"/>
      <w:marRight w:val="0"/>
      <w:marTop w:val="0"/>
      <w:marBottom w:val="0"/>
      <w:divBdr>
        <w:top w:val="none" w:sz="0" w:space="0" w:color="auto"/>
        <w:left w:val="none" w:sz="0" w:space="0" w:color="auto"/>
        <w:bottom w:val="none" w:sz="0" w:space="0" w:color="auto"/>
        <w:right w:val="none" w:sz="0" w:space="0" w:color="auto"/>
      </w:divBdr>
    </w:div>
    <w:div w:id="1767383615">
      <w:bodyDiv w:val="1"/>
      <w:marLeft w:val="0"/>
      <w:marRight w:val="0"/>
      <w:marTop w:val="0"/>
      <w:marBottom w:val="0"/>
      <w:divBdr>
        <w:top w:val="none" w:sz="0" w:space="0" w:color="auto"/>
        <w:left w:val="none" w:sz="0" w:space="0" w:color="auto"/>
        <w:bottom w:val="none" w:sz="0" w:space="0" w:color="auto"/>
        <w:right w:val="none" w:sz="0" w:space="0" w:color="auto"/>
      </w:divBdr>
    </w:div>
    <w:div w:id="1769498844">
      <w:bodyDiv w:val="1"/>
      <w:marLeft w:val="0"/>
      <w:marRight w:val="0"/>
      <w:marTop w:val="0"/>
      <w:marBottom w:val="0"/>
      <w:divBdr>
        <w:top w:val="none" w:sz="0" w:space="0" w:color="auto"/>
        <w:left w:val="none" w:sz="0" w:space="0" w:color="auto"/>
        <w:bottom w:val="none" w:sz="0" w:space="0" w:color="auto"/>
        <w:right w:val="none" w:sz="0" w:space="0" w:color="auto"/>
      </w:divBdr>
    </w:div>
    <w:div w:id="1799713500">
      <w:bodyDiv w:val="1"/>
      <w:marLeft w:val="0"/>
      <w:marRight w:val="0"/>
      <w:marTop w:val="0"/>
      <w:marBottom w:val="0"/>
      <w:divBdr>
        <w:top w:val="none" w:sz="0" w:space="0" w:color="auto"/>
        <w:left w:val="none" w:sz="0" w:space="0" w:color="auto"/>
        <w:bottom w:val="none" w:sz="0" w:space="0" w:color="auto"/>
        <w:right w:val="none" w:sz="0" w:space="0" w:color="auto"/>
      </w:divBdr>
    </w:div>
    <w:div w:id="1816990002">
      <w:bodyDiv w:val="1"/>
      <w:marLeft w:val="0"/>
      <w:marRight w:val="0"/>
      <w:marTop w:val="0"/>
      <w:marBottom w:val="0"/>
      <w:divBdr>
        <w:top w:val="none" w:sz="0" w:space="0" w:color="auto"/>
        <w:left w:val="none" w:sz="0" w:space="0" w:color="auto"/>
        <w:bottom w:val="none" w:sz="0" w:space="0" w:color="auto"/>
        <w:right w:val="none" w:sz="0" w:space="0" w:color="auto"/>
      </w:divBdr>
    </w:div>
    <w:div w:id="1857696969">
      <w:bodyDiv w:val="1"/>
      <w:marLeft w:val="0"/>
      <w:marRight w:val="0"/>
      <w:marTop w:val="0"/>
      <w:marBottom w:val="0"/>
      <w:divBdr>
        <w:top w:val="none" w:sz="0" w:space="0" w:color="auto"/>
        <w:left w:val="none" w:sz="0" w:space="0" w:color="auto"/>
        <w:bottom w:val="none" w:sz="0" w:space="0" w:color="auto"/>
        <w:right w:val="none" w:sz="0" w:space="0" w:color="auto"/>
      </w:divBdr>
    </w:div>
    <w:div w:id="1862040846">
      <w:bodyDiv w:val="1"/>
      <w:marLeft w:val="0"/>
      <w:marRight w:val="0"/>
      <w:marTop w:val="0"/>
      <w:marBottom w:val="0"/>
      <w:divBdr>
        <w:top w:val="none" w:sz="0" w:space="0" w:color="auto"/>
        <w:left w:val="none" w:sz="0" w:space="0" w:color="auto"/>
        <w:bottom w:val="none" w:sz="0" w:space="0" w:color="auto"/>
        <w:right w:val="none" w:sz="0" w:space="0" w:color="auto"/>
      </w:divBdr>
    </w:div>
    <w:div w:id="1864630962">
      <w:bodyDiv w:val="1"/>
      <w:marLeft w:val="0"/>
      <w:marRight w:val="0"/>
      <w:marTop w:val="0"/>
      <w:marBottom w:val="0"/>
      <w:divBdr>
        <w:top w:val="none" w:sz="0" w:space="0" w:color="auto"/>
        <w:left w:val="none" w:sz="0" w:space="0" w:color="auto"/>
        <w:bottom w:val="none" w:sz="0" w:space="0" w:color="auto"/>
        <w:right w:val="none" w:sz="0" w:space="0" w:color="auto"/>
      </w:divBdr>
    </w:div>
    <w:div w:id="1897276200">
      <w:bodyDiv w:val="1"/>
      <w:marLeft w:val="0"/>
      <w:marRight w:val="0"/>
      <w:marTop w:val="0"/>
      <w:marBottom w:val="0"/>
      <w:divBdr>
        <w:top w:val="none" w:sz="0" w:space="0" w:color="auto"/>
        <w:left w:val="none" w:sz="0" w:space="0" w:color="auto"/>
        <w:bottom w:val="none" w:sz="0" w:space="0" w:color="auto"/>
        <w:right w:val="none" w:sz="0" w:space="0" w:color="auto"/>
      </w:divBdr>
    </w:div>
    <w:div w:id="1964073556">
      <w:bodyDiv w:val="1"/>
      <w:marLeft w:val="0"/>
      <w:marRight w:val="0"/>
      <w:marTop w:val="0"/>
      <w:marBottom w:val="0"/>
      <w:divBdr>
        <w:top w:val="none" w:sz="0" w:space="0" w:color="auto"/>
        <w:left w:val="none" w:sz="0" w:space="0" w:color="auto"/>
        <w:bottom w:val="none" w:sz="0" w:space="0" w:color="auto"/>
        <w:right w:val="none" w:sz="0" w:space="0" w:color="auto"/>
      </w:divBdr>
    </w:div>
    <w:div w:id="1992557143">
      <w:bodyDiv w:val="1"/>
      <w:marLeft w:val="0"/>
      <w:marRight w:val="0"/>
      <w:marTop w:val="0"/>
      <w:marBottom w:val="0"/>
      <w:divBdr>
        <w:top w:val="none" w:sz="0" w:space="0" w:color="auto"/>
        <w:left w:val="none" w:sz="0" w:space="0" w:color="auto"/>
        <w:bottom w:val="none" w:sz="0" w:space="0" w:color="auto"/>
        <w:right w:val="none" w:sz="0" w:space="0" w:color="auto"/>
      </w:divBdr>
    </w:div>
    <w:div w:id="2039505074">
      <w:bodyDiv w:val="1"/>
      <w:marLeft w:val="0"/>
      <w:marRight w:val="0"/>
      <w:marTop w:val="0"/>
      <w:marBottom w:val="0"/>
      <w:divBdr>
        <w:top w:val="none" w:sz="0" w:space="0" w:color="auto"/>
        <w:left w:val="none" w:sz="0" w:space="0" w:color="auto"/>
        <w:bottom w:val="none" w:sz="0" w:space="0" w:color="auto"/>
        <w:right w:val="none" w:sz="0" w:space="0" w:color="auto"/>
      </w:divBdr>
    </w:div>
    <w:div w:id="2041935593">
      <w:bodyDiv w:val="1"/>
      <w:marLeft w:val="0"/>
      <w:marRight w:val="0"/>
      <w:marTop w:val="0"/>
      <w:marBottom w:val="0"/>
      <w:divBdr>
        <w:top w:val="none" w:sz="0" w:space="0" w:color="auto"/>
        <w:left w:val="none" w:sz="0" w:space="0" w:color="auto"/>
        <w:bottom w:val="none" w:sz="0" w:space="0" w:color="auto"/>
        <w:right w:val="none" w:sz="0" w:space="0" w:color="auto"/>
      </w:divBdr>
    </w:div>
    <w:div w:id="2099860289">
      <w:bodyDiv w:val="1"/>
      <w:marLeft w:val="0"/>
      <w:marRight w:val="0"/>
      <w:marTop w:val="0"/>
      <w:marBottom w:val="0"/>
      <w:divBdr>
        <w:top w:val="none" w:sz="0" w:space="0" w:color="auto"/>
        <w:left w:val="none" w:sz="0" w:space="0" w:color="auto"/>
        <w:bottom w:val="none" w:sz="0" w:space="0" w:color="auto"/>
        <w:right w:val="none" w:sz="0" w:space="0" w:color="auto"/>
      </w:divBdr>
    </w:div>
    <w:div w:id="21359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financial pre-award was conducted to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AC296A-B4A2-4DE7-ACFB-7F104504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December 8, 2022</dc:subject>
  <dc:creator>E Taylor</dc:creator>
  <cp:lastModifiedBy>Sharon Hulcy</cp:lastModifiedBy>
  <cp:revision>2</cp:revision>
  <cp:lastPrinted>2016-10-02T00:37:00Z</cp:lastPrinted>
  <dcterms:created xsi:type="dcterms:W3CDTF">2022-12-13T14:31:00Z</dcterms:created>
  <dcterms:modified xsi:type="dcterms:W3CDTF">2022-12-13T14:31:00Z</dcterms:modified>
</cp:coreProperties>
</file>